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2BB49">
      <w:pPr>
        <w:spacing w:after="0" w:line="240" w:lineRule="auto"/>
        <w:jc w:val="center"/>
        <w:rPr>
          <w:lang w:eastAsia="zh-CN"/>
        </w:rPr>
      </w:pPr>
      <w:bookmarkStart w:id="0" w:name="_GoBack"/>
      <w:bookmarkEnd w:id="0"/>
      <w:r>
        <w:rPr>
          <w:rFonts w:ascii="黑体" w:hAnsi="黑体" w:eastAsia="黑体"/>
          <w:b/>
          <w:sz w:val="32"/>
          <w:lang w:eastAsia="zh-CN"/>
        </w:rPr>
        <w:t>深圳市第三人民医院</w:t>
      </w:r>
    </w:p>
    <w:p w14:paraId="5243D161">
      <w:pPr>
        <w:spacing w:before="240" w:after="120" w:line="240" w:lineRule="auto"/>
        <w:jc w:val="center"/>
        <w:rPr>
          <w:lang w:eastAsia="zh-CN"/>
        </w:rPr>
      </w:pPr>
      <w:r>
        <w:rPr>
          <w:rFonts w:ascii="黑体" w:hAnsi="黑体" w:eastAsia="黑体"/>
          <w:b/>
          <w:sz w:val="36"/>
          <w:lang w:eastAsia="zh-CN"/>
        </w:rPr>
        <w:t>免费通道使用注意事项告知函</w:t>
      </w:r>
    </w:p>
    <w:p w14:paraId="092235A5">
      <w:pPr>
        <w:spacing w:line="240" w:lineRule="auto"/>
        <w:jc w:val="center"/>
        <w:rPr>
          <w:lang w:eastAsia="zh-CN"/>
        </w:rPr>
      </w:pPr>
      <w:r>
        <w:rPr>
          <w:rFonts w:ascii="宋体" w:hAnsi="宋体" w:eastAsia="宋体"/>
          <w:sz w:val="24"/>
          <w:lang w:eastAsia="zh-CN"/>
        </w:rPr>
        <w:t>（——致授权使用免费通道的研究者）</w:t>
      </w:r>
    </w:p>
    <w:p w14:paraId="46111F7E">
      <w:pPr>
        <w:ind w:firstLine="420"/>
        <w:rPr>
          <w:lang w:eastAsia="zh-CN"/>
        </w:rPr>
      </w:pPr>
      <w:r>
        <w:rPr>
          <w:rFonts w:ascii="宋体" w:hAnsi="宋体" w:eastAsia="宋体"/>
          <w:sz w:val="21"/>
          <w:lang w:eastAsia="zh-CN"/>
        </w:rPr>
        <w:t>尊敬的研究者：</w:t>
      </w:r>
    </w:p>
    <w:p w14:paraId="3A904A63">
      <w:pPr>
        <w:ind w:firstLine="420"/>
        <w:rPr>
          <w:lang w:eastAsia="zh-CN"/>
        </w:rPr>
      </w:pPr>
      <w:r>
        <w:rPr>
          <w:rFonts w:ascii="宋体" w:hAnsi="宋体" w:eastAsia="宋体"/>
          <w:sz w:val="21"/>
          <w:lang w:eastAsia="zh-CN"/>
        </w:rPr>
        <w:t>您好！为规范我院药物临床试验机构 GCP</w:t>
      </w:r>
      <w:r>
        <w:rPr>
          <w:rFonts w:hint="eastAsia" w:ascii="宋体" w:hAnsi="宋体" w:eastAsia="宋体"/>
          <w:sz w:val="21"/>
          <w:lang w:eastAsia="zh-CN"/>
        </w:rPr>
        <w:t>/IIT</w:t>
      </w:r>
      <w:r>
        <w:rPr>
          <w:rFonts w:ascii="宋体" w:hAnsi="宋体" w:eastAsia="宋体"/>
          <w:sz w:val="21"/>
          <w:lang w:eastAsia="zh-CN"/>
        </w:rPr>
        <w:t xml:space="preserve"> 免费通道的申请、授权、使用、结算与关闭流程，确保临床试验经费合规使用、保护受试者权益，依据《药物临床试验质量管理规范》</w:t>
      </w:r>
      <w:r>
        <w:rPr>
          <w:rFonts w:hint="eastAsia" w:ascii="宋体" w:hAnsi="宋体" w:eastAsia="宋体"/>
          <w:sz w:val="21"/>
          <w:lang w:eastAsia="zh-CN"/>
        </w:rPr>
        <w:t>/</w:t>
      </w:r>
      <w:r>
        <w:rPr>
          <w:rFonts w:ascii="宋体" w:hAnsi="宋体" w:eastAsia="宋体"/>
          <w:sz w:val="21"/>
          <w:lang w:eastAsia="zh-CN"/>
        </w:rPr>
        <w:t>（GCP）、</w:t>
      </w:r>
      <w:r>
        <w:rPr>
          <w:rFonts w:hint="eastAsia" w:ascii="宋体" w:hAnsi="宋体" w:eastAsia="宋体"/>
          <w:sz w:val="21"/>
          <w:lang w:eastAsia="zh-CN"/>
        </w:rPr>
        <w:t>《</w:t>
      </w:r>
      <w:r>
        <w:rPr>
          <w:rFonts w:ascii="宋体" w:hAnsi="宋体" w:eastAsia="宋体"/>
          <w:sz w:val="21"/>
          <w:lang w:eastAsia="zh-CN"/>
        </w:rPr>
        <w:t>医疗卫生机构开展研究者发起的</w:t>
      </w:r>
      <w:r>
        <w:rPr>
          <w:rFonts w:hint="eastAsia" w:ascii="宋体" w:hAnsi="宋体" w:eastAsia="宋体"/>
          <w:sz w:val="21"/>
          <w:lang w:eastAsia="zh-CN"/>
        </w:rPr>
        <w:t>临床研究管理办法》</w:t>
      </w:r>
      <w:r>
        <w:rPr>
          <w:rFonts w:ascii="宋体" w:hAnsi="宋体" w:eastAsia="宋体"/>
          <w:sz w:val="21"/>
          <w:lang w:eastAsia="zh-CN"/>
        </w:rPr>
        <w:t>《医疗机构管理条例》、本院《申请开通免费通道的标准操作规程》，现将免费通道使用注意事项告知如下，请逐条阅读、严格遵守，并于本函末页完成签字确认。</w:t>
      </w:r>
    </w:p>
    <w:p w14:paraId="5D5A2220">
      <w:pPr>
        <w:spacing w:before="240" w:after="120"/>
        <w:rPr>
          <w:lang w:eastAsia="zh-CN"/>
        </w:rPr>
      </w:pPr>
      <w:r>
        <w:rPr>
          <w:rFonts w:ascii="黑体" w:hAnsi="黑体" w:eastAsia="黑体"/>
          <w:b/>
          <w:sz w:val="28"/>
          <w:lang w:eastAsia="zh-CN"/>
        </w:rPr>
        <w:t>一、免费通道的基本规则</w:t>
      </w:r>
    </w:p>
    <w:p w14:paraId="60228D47">
      <w:pPr>
        <w:spacing w:before="120" w:after="60"/>
        <w:rPr>
          <w:lang w:eastAsia="zh-CN"/>
        </w:rPr>
      </w:pPr>
      <w:r>
        <w:rPr>
          <w:rFonts w:ascii="黑体" w:hAnsi="黑体" w:eastAsia="黑体"/>
          <w:b/>
          <w:sz w:val="24"/>
          <w:lang w:eastAsia="zh-CN"/>
        </w:rPr>
        <w:t>（一）通道名称构成</w:t>
      </w:r>
    </w:p>
    <w:p w14:paraId="35BD94B6">
      <w:pPr>
        <w:ind w:firstLine="420"/>
        <w:rPr>
          <w:rFonts w:ascii="宋体" w:hAnsi="宋体" w:eastAsia="宋体"/>
          <w:sz w:val="21"/>
          <w:lang w:eastAsia="zh-CN"/>
        </w:rPr>
      </w:pPr>
      <w:r>
        <w:rPr>
          <w:rFonts w:hint="eastAsia" w:ascii="宋体" w:hAnsi="宋体" w:eastAsia="宋体"/>
          <w:sz w:val="21"/>
          <w:lang w:eastAsia="zh-CN"/>
        </w:rPr>
        <w:t>1. IST模板：通道名称：SL—2024—###（立项编号）—GCP *期—####（项目简称）+（###PI姓名）</w:t>
      </w:r>
    </w:p>
    <w:p w14:paraId="0B0CF539">
      <w:pPr>
        <w:ind w:firstLine="420"/>
        <w:rPr>
          <w:rFonts w:ascii="宋体" w:hAnsi="宋体" w:eastAsia="宋体"/>
          <w:sz w:val="21"/>
          <w:lang w:eastAsia="zh-CN"/>
        </w:rPr>
      </w:pPr>
      <w:r>
        <w:rPr>
          <w:rFonts w:hint="eastAsia" w:ascii="宋体" w:hAnsi="宋体" w:eastAsia="宋体"/>
          <w:sz w:val="21"/>
          <w:lang w:eastAsia="zh-CN"/>
        </w:rPr>
        <w:t>2. IIT模板：通道名称：IIT—####（项目简称）+（###PI姓名）</w:t>
      </w:r>
    </w:p>
    <w:p w14:paraId="19468D14">
      <w:pPr>
        <w:ind w:firstLine="420"/>
        <w:rPr>
          <w:rFonts w:ascii="宋体" w:hAnsi="宋体" w:eastAsia="宋体"/>
          <w:sz w:val="21"/>
          <w:lang w:eastAsia="zh-CN"/>
        </w:rPr>
      </w:pPr>
      <w:r>
        <w:rPr>
          <w:rFonts w:ascii="宋体" w:hAnsi="宋体" w:eastAsia="宋体"/>
          <w:sz w:val="21"/>
          <w:lang w:eastAsia="zh-CN"/>
        </w:rPr>
        <w:t>3. 开立医嘱前必须逐字核对通道名称，名称不符、过期、错用均视为违规使用，由此产生的医保记账、经费结算问题由当次开嘱医师及所在项目组承担。</w:t>
      </w:r>
    </w:p>
    <w:p w14:paraId="55349E6B">
      <w:pPr>
        <w:spacing w:before="120" w:after="60"/>
        <w:rPr>
          <w:lang w:eastAsia="zh-CN"/>
        </w:rPr>
      </w:pPr>
      <w:r>
        <w:rPr>
          <w:rFonts w:ascii="黑体" w:hAnsi="黑体" w:eastAsia="黑体"/>
          <w:b/>
          <w:sz w:val="24"/>
          <w:lang w:eastAsia="zh-CN"/>
        </w:rPr>
        <w:t>（二）适用对象</w:t>
      </w:r>
    </w:p>
    <w:p w14:paraId="633E7457">
      <w:pPr>
        <w:ind w:firstLine="420"/>
        <w:rPr>
          <w:lang w:eastAsia="zh-CN"/>
        </w:rPr>
      </w:pPr>
      <w:r>
        <w:rPr>
          <w:rFonts w:ascii="宋体" w:hAnsi="宋体" w:eastAsia="宋体"/>
          <w:sz w:val="21"/>
          <w:lang w:eastAsia="zh-CN"/>
        </w:rPr>
        <w:t>1. 仅限本项目已签署知情同意书、正式入选、并完成随机/分层的受试者本人使用；受试者家属、陪护及任何非本项目受试者严禁使用 GCP 免费通道。</w:t>
      </w:r>
    </w:p>
    <w:p w14:paraId="22AF8559">
      <w:pPr>
        <w:ind w:firstLine="420"/>
        <w:rPr>
          <w:lang w:eastAsia="zh-CN"/>
        </w:rPr>
      </w:pPr>
      <w:r>
        <w:rPr>
          <w:rFonts w:ascii="宋体" w:hAnsi="宋体" w:eastAsia="宋体"/>
          <w:sz w:val="21"/>
          <w:lang w:eastAsia="zh-CN"/>
        </w:rPr>
        <w:t>2.</w:t>
      </w:r>
      <w:r>
        <w:rPr>
          <w:rFonts w:hint="eastAsia"/>
          <w:lang w:eastAsia="zh-CN"/>
        </w:rPr>
        <w:t xml:space="preserve"> </w:t>
      </w:r>
      <w:r>
        <w:rPr>
          <w:rFonts w:hint="eastAsia" w:ascii="宋体" w:hAnsi="宋体" w:eastAsia="宋体"/>
          <w:sz w:val="21"/>
          <w:lang w:eastAsia="zh-CN"/>
        </w:rPr>
        <w:t>一旦发现非受试者使用免费通道，将按本院及机构相关制度严肃处理，具体包括：立即暂停该研究者授权，约谈</w:t>
      </w:r>
      <w:r>
        <w:rPr>
          <w:rFonts w:ascii="宋体" w:hAnsi="宋体" w:eastAsia="宋体"/>
          <w:sz w:val="21"/>
          <w:lang w:eastAsia="zh-CN"/>
        </w:rPr>
        <w:t xml:space="preserve"> PI </w:t>
      </w:r>
      <w:r>
        <w:rPr>
          <w:rFonts w:hint="eastAsia" w:ascii="宋体" w:hAnsi="宋体" w:eastAsia="宋体"/>
          <w:sz w:val="21"/>
          <w:lang w:eastAsia="zh-CN"/>
        </w:rPr>
        <w:t>并书面通报；造成费用损失的，由当次开嘱医师及</w:t>
      </w:r>
      <w:r>
        <w:rPr>
          <w:rFonts w:ascii="宋体" w:hAnsi="宋体" w:eastAsia="宋体"/>
          <w:sz w:val="21"/>
          <w:lang w:eastAsia="zh-CN"/>
        </w:rPr>
        <w:t xml:space="preserve"> PI </w:t>
      </w:r>
      <w:r>
        <w:rPr>
          <w:rFonts w:hint="eastAsia" w:ascii="宋体" w:hAnsi="宋体" w:eastAsia="宋体"/>
          <w:sz w:val="21"/>
          <w:lang w:eastAsia="zh-CN"/>
        </w:rPr>
        <w:t>按申办方协议金额等额赔偿；情节严重者，将上报医保及相关部门，必要时停止相关项目免费通道授权，并记入研究者诚信档案。</w:t>
      </w:r>
    </w:p>
    <w:p w14:paraId="58383F32">
      <w:pPr>
        <w:spacing w:before="240" w:after="120"/>
        <w:rPr>
          <w:lang w:eastAsia="zh-CN"/>
        </w:rPr>
      </w:pPr>
      <w:r>
        <w:rPr>
          <w:rFonts w:ascii="黑体" w:hAnsi="黑体" w:eastAsia="黑体"/>
          <w:b/>
          <w:sz w:val="28"/>
          <w:lang w:eastAsia="zh-CN"/>
        </w:rPr>
        <w:t>二、医保合规红线（务必重点关注）</w:t>
      </w:r>
    </w:p>
    <w:p w14:paraId="3D409F9A">
      <w:pPr>
        <w:spacing w:before="120" w:after="120"/>
        <w:ind w:left="420" w:right="420"/>
        <w:rPr>
          <w:sz w:val="21"/>
          <w:szCs w:val="21"/>
          <w:lang w:eastAsia="zh-CN"/>
        </w:rPr>
      </w:pPr>
      <w:r>
        <w:rPr>
          <w:rFonts w:ascii="宋体" w:hAnsi="宋体" w:eastAsia="宋体"/>
          <w:b/>
          <w:color w:val="C00000"/>
          <w:sz w:val="21"/>
          <w:szCs w:val="21"/>
          <w:lang w:eastAsia="zh-CN"/>
        </w:rPr>
        <w:t>【重要警示】临床试验免费诊查、检验、检查及住院费用由申办方按协议承担，属于"非医保支付"范畴。任何情况下均不得将本应由免费通道记账的费用通过医保结算、门诊/住院统筹或个人账户支付；如发生医保记账，将直接影响受试者医保待遇、参保资格及医院医保结算，性质严重。</w:t>
      </w:r>
    </w:p>
    <w:p w14:paraId="60D3AAA5">
      <w:pPr>
        <w:spacing w:before="120" w:after="60"/>
        <w:rPr>
          <w:lang w:eastAsia="zh-CN"/>
        </w:rPr>
      </w:pPr>
      <w:r>
        <w:rPr>
          <w:rFonts w:ascii="黑体" w:hAnsi="黑体" w:eastAsia="黑体"/>
          <w:b/>
          <w:sz w:val="24"/>
          <w:lang w:eastAsia="zh-CN"/>
        </w:rPr>
        <w:t>（一）严令禁止行为</w:t>
      </w:r>
    </w:p>
    <w:p w14:paraId="1DAE8F9A">
      <w:pPr>
        <w:ind w:firstLine="420"/>
        <w:rPr>
          <w:lang w:eastAsia="zh-CN"/>
        </w:rPr>
      </w:pPr>
      <w:r>
        <w:rPr>
          <w:rFonts w:ascii="宋体" w:hAnsi="宋体" w:eastAsia="宋体"/>
          <w:sz w:val="21"/>
          <w:lang w:eastAsia="zh-CN"/>
        </w:rPr>
        <w:t>1. 严禁将方案规定由申办方承担的检验、检查、住院、治疗、手术、影像等费用，走医保（含职工医保、居民医保、新农合、门诊统筹、个人账户等任何医保类型）结算。</w:t>
      </w:r>
    </w:p>
    <w:p w14:paraId="48544E8A">
      <w:pPr>
        <w:ind w:firstLine="420"/>
        <w:rPr>
          <w:lang w:eastAsia="zh-CN"/>
        </w:rPr>
      </w:pPr>
      <w:r>
        <w:rPr>
          <w:rFonts w:ascii="宋体" w:hAnsi="宋体" w:eastAsia="宋体"/>
          <w:sz w:val="21"/>
          <w:lang w:eastAsia="zh-CN"/>
        </w:rPr>
        <w:t>2. 严禁为非本项目受试者开具或默许其使用本通道进行记账。</w:t>
      </w:r>
    </w:p>
    <w:p w14:paraId="1890E238">
      <w:pPr>
        <w:ind w:firstLine="420"/>
        <w:rPr>
          <w:lang w:eastAsia="zh-CN"/>
        </w:rPr>
      </w:pPr>
      <w:r>
        <w:rPr>
          <w:rFonts w:ascii="宋体" w:hAnsi="宋体" w:eastAsia="宋体"/>
          <w:sz w:val="21"/>
          <w:lang w:eastAsia="zh-CN"/>
        </w:rPr>
        <w:t>3. 严禁在患者已使用医保挂号、医保结算后，再将费用转入免费通道，或反向冲账；亦不得将免费通道费用以现金、自费方式回退后再走医保。</w:t>
      </w:r>
    </w:p>
    <w:p w14:paraId="160AE338">
      <w:pPr>
        <w:ind w:firstLine="420"/>
        <w:rPr>
          <w:lang w:eastAsia="zh-CN"/>
        </w:rPr>
      </w:pPr>
      <w:r>
        <w:rPr>
          <w:rFonts w:ascii="宋体" w:hAnsi="宋体" w:eastAsia="宋体"/>
          <w:sz w:val="21"/>
          <w:lang w:eastAsia="zh-CN"/>
        </w:rPr>
        <w:t>4. 严禁对超出方案规定的额外检查、合并用药、合并治疗、随访期外的费用使用免费通道，由此产生的医保/自费争议由当次开嘱医师承担。</w:t>
      </w:r>
    </w:p>
    <w:p w14:paraId="0180AE8F">
      <w:pPr>
        <w:spacing w:before="120" w:after="60"/>
        <w:rPr>
          <w:lang w:eastAsia="zh-CN"/>
        </w:rPr>
      </w:pPr>
      <w:r>
        <w:rPr>
          <w:rFonts w:ascii="黑体" w:hAnsi="黑体" w:eastAsia="黑体"/>
          <w:b/>
          <w:sz w:val="24"/>
          <w:lang w:eastAsia="zh-CN"/>
        </w:rPr>
        <w:t>（二）受试者医保待遇保护</w:t>
      </w:r>
    </w:p>
    <w:p w14:paraId="04255316">
      <w:pPr>
        <w:ind w:firstLine="420"/>
        <w:rPr>
          <w:lang w:eastAsia="zh-CN"/>
        </w:rPr>
      </w:pPr>
      <w:r>
        <w:rPr>
          <w:rFonts w:ascii="宋体" w:hAnsi="宋体" w:eastAsia="宋体"/>
          <w:sz w:val="21"/>
          <w:lang w:eastAsia="zh-CN"/>
        </w:rPr>
        <w:t>1. 因使用 GCP 免费通道产生的费用，不计入受试者当次医保起付线、统筹限额及大病保险累计。</w:t>
      </w:r>
    </w:p>
    <w:p w14:paraId="47F5D1B7">
      <w:pPr>
        <w:ind w:firstLine="420"/>
        <w:rPr>
          <w:lang w:eastAsia="zh-CN"/>
        </w:rPr>
      </w:pPr>
      <w:r>
        <w:rPr>
          <w:rFonts w:ascii="宋体" w:hAnsi="宋体" w:eastAsia="宋体"/>
          <w:sz w:val="21"/>
          <w:lang w:eastAsia="zh-CN"/>
        </w:rPr>
        <w:t>2. 同一受试者本次住院结算若同时涉及"非试验相关费用"使用医保， 须在患者出院前明确告知受试者，避免造成医保记账纠纷。</w:t>
      </w:r>
    </w:p>
    <w:p w14:paraId="749199F8">
      <w:pPr>
        <w:ind w:firstLine="420"/>
        <w:rPr>
          <w:lang w:eastAsia="zh-CN"/>
        </w:rPr>
      </w:pPr>
      <w:r>
        <w:rPr>
          <w:rFonts w:ascii="宋体" w:hAnsi="宋体" w:eastAsia="宋体"/>
          <w:sz w:val="21"/>
          <w:lang w:eastAsia="zh-CN"/>
        </w:rPr>
        <w:t>3. 对医保结算存在疑问时，研究医生应主动协调机构办公室及医保办，不得以"免费通道已结"为由拒绝解释。</w:t>
      </w:r>
    </w:p>
    <w:p w14:paraId="1FF48F28">
      <w:pPr>
        <w:spacing w:before="240" w:after="120"/>
        <w:rPr>
          <w:lang w:eastAsia="zh-CN"/>
        </w:rPr>
      </w:pPr>
      <w:r>
        <w:rPr>
          <w:rFonts w:ascii="黑体" w:hAnsi="黑体" w:eastAsia="黑体"/>
          <w:b/>
          <w:sz w:val="28"/>
          <w:lang w:eastAsia="zh-CN"/>
        </w:rPr>
        <w:t>三、门诊与住院医嘱规范</w:t>
      </w:r>
    </w:p>
    <w:p w14:paraId="1D7E6BA3">
      <w:pPr>
        <w:spacing w:before="120" w:after="60"/>
        <w:rPr>
          <w:lang w:eastAsia="zh-CN"/>
        </w:rPr>
      </w:pPr>
      <w:r>
        <w:rPr>
          <w:rFonts w:ascii="黑体" w:hAnsi="黑体" w:eastAsia="黑体"/>
          <w:b/>
          <w:sz w:val="24"/>
          <w:lang w:eastAsia="zh-CN"/>
        </w:rPr>
        <w:t>（一）门诊医嘱</w:t>
      </w:r>
    </w:p>
    <w:p w14:paraId="23F890B8">
      <w:pPr>
        <w:ind w:firstLine="420"/>
        <w:rPr>
          <w:lang w:eastAsia="zh-CN"/>
        </w:rPr>
      </w:pPr>
      <w:r>
        <w:rPr>
          <w:rFonts w:ascii="宋体" w:hAnsi="宋体" w:eastAsia="宋体"/>
          <w:sz w:val="21"/>
          <w:lang w:eastAsia="zh-CN"/>
        </w:rPr>
        <w:t>1. 药理基地门诊仅免挂号费；处方、检验、检查、治疗项目须由具备授权的医师在 HIS 系统中正确勾选"GCP 免费通道"选项。</w:t>
      </w:r>
    </w:p>
    <w:p w14:paraId="6CB5FFFF">
      <w:pPr>
        <w:ind w:firstLine="420"/>
        <w:rPr>
          <w:lang w:eastAsia="zh-CN"/>
        </w:rPr>
      </w:pPr>
      <w:r>
        <w:rPr>
          <w:rFonts w:ascii="宋体" w:hAnsi="宋体" w:eastAsia="宋体"/>
          <w:sz w:val="21"/>
          <w:lang w:eastAsia="zh-CN"/>
        </w:rPr>
        <w:t>2. 如需开通门诊免费通道，须由 PI 同步申请授权医师的"药理基地"出诊权限。</w:t>
      </w:r>
    </w:p>
    <w:p w14:paraId="16B73F9F">
      <w:pPr>
        <w:spacing w:before="120" w:after="60"/>
        <w:rPr>
          <w:lang w:eastAsia="zh-CN"/>
        </w:rPr>
      </w:pPr>
      <w:r>
        <w:rPr>
          <w:rFonts w:ascii="黑体" w:hAnsi="黑体" w:eastAsia="黑体"/>
          <w:b/>
          <w:sz w:val="24"/>
          <w:lang w:eastAsia="zh-CN"/>
        </w:rPr>
        <w:t>（二）住院医嘱</w:t>
      </w:r>
    </w:p>
    <w:p w14:paraId="65506B79">
      <w:pPr>
        <w:ind w:firstLine="420"/>
        <w:rPr>
          <w:lang w:eastAsia="zh-CN"/>
        </w:rPr>
      </w:pPr>
      <w:r>
        <w:rPr>
          <w:rFonts w:ascii="宋体" w:hAnsi="宋体" w:eastAsia="宋体"/>
          <w:sz w:val="21"/>
          <w:lang w:eastAsia="zh-CN"/>
        </w:rPr>
        <w:t>1.主管医师开立长期/临时医嘱时必须核对"受试者—项目—通道"三者一致，并避免将非试验相关诊疗项目纳入免费通道。</w:t>
      </w:r>
    </w:p>
    <w:p w14:paraId="4A6F7C67">
      <w:pPr>
        <w:spacing w:before="240" w:after="120"/>
        <w:rPr>
          <w:lang w:eastAsia="zh-CN"/>
        </w:rPr>
      </w:pPr>
      <w:r>
        <w:rPr>
          <w:rFonts w:ascii="黑体" w:hAnsi="黑体" w:eastAsia="黑体"/>
          <w:b/>
          <w:sz w:val="28"/>
          <w:lang w:eastAsia="zh-CN"/>
        </w:rPr>
        <w:t>四、住院患者出院结算流程（CRC 配合</w:t>
      </w:r>
      <w:r>
        <w:rPr>
          <w:rFonts w:hint="eastAsia" w:ascii="黑体" w:hAnsi="黑体" w:eastAsia="黑体"/>
          <w:b/>
          <w:sz w:val="28"/>
          <w:lang w:eastAsia="zh-CN"/>
        </w:rPr>
        <w:t>，若有</w:t>
      </w:r>
      <w:r>
        <w:rPr>
          <w:rFonts w:ascii="黑体" w:hAnsi="黑体" w:eastAsia="黑体"/>
          <w:b/>
          <w:sz w:val="28"/>
          <w:lang w:eastAsia="zh-CN"/>
        </w:rPr>
        <w:t>）</w:t>
      </w:r>
    </w:p>
    <w:p w14:paraId="702EF2C3">
      <w:pPr>
        <w:ind w:firstLine="420"/>
        <w:rPr>
          <w:sz w:val="21"/>
          <w:szCs w:val="21"/>
          <w:lang w:eastAsia="zh-CN"/>
        </w:rPr>
      </w:pPr>
      <w:r>
        <w:rPr>
          <w:rFonts w:ascii="宋体" w:hAnsi="宋体" w:eastAsia="宋体"/>
          <w:sz w:val="21"/>
          <w:szCs w:val="21"/>
          <w:lang w:eastAsia="zh-CN"/>
        </w:rPr>
        <w:t>Step 1：患者准备出院。</w:t>
      </w:r>
    </w:p>
    <w:p w14:paraId="40A268D7">
      <w:pPr>
        <w:ind w:firstLine="420"/>
        <w:rPr>
          <w:sz w:val="21"/>
          <w:szCs w:val="21"/>
          <w:lang w:eastAsia="zh-CN"/>
        </w:rPr>
      </w:pPr>
      <w:r>
        <w:rPr>
          <w:rFonts w:ascii="宋体" w:hAnsi="宋体" w:eastAsia="宋体"/>
          <w:sz w:val="21"/>
          <w:szCs w:val="21"/>
          <w:lang w:eastAsia="zh-CN"/>
        </w:rPr>
        <w:t>主管医师确认患者达到出院标准，开具出院医嘱，并通知 CRC</w:t>
      </w:r>
      <w:r>
        <w:rPr>
          <w:rFonts w:hint="eastAsia" w:ascii="宋体" w:hAnsi="宋体" w:eastAsia="宋体"/>
          <w:sz w:val="21"/>
          <w:szCs w:val="21"/>
          <w:lang w:eastAsia="zh-CN"/>
        </w:rPr>
        <w:t>或项目研究者</w:t>
      </w:r>
      <w:r>
        <w:rPr>
          <w:rFonts w:ascii="宋体" w:hAnsi="宋体" w:eastAsia="宋体"/>
          <w:sz w:val="21"/>
          <w:szCs w:val="21"/>
          <w:lang w:eastAsia="zh-CN"/>
        </w:rPr>
        <w:t>。</w:t>
      </w:r>
    </w:p>
    <w:p w14:paraId="0BEA065C">
      <w:pPr>
        <w:ind w:firstLine="420"/>
        <w:rPr>
          <w:sz w:val="21"/>
          <w:szCs w:val="21"/>
          <w:lang w:eastAsia="zh-CN"/>
        </w:rPr>
      </w:pPr>
      <w:r>
        <w:rPr>
          <w:rFonts w:ascii="宋体" w:hAnsi="宋体" w:eastAsia="宋体"/>
          <w:sz w:val="21"/>
          <w:szCs w:val="21"/>
          <w:lang w:eastAsia="zh-CN"/>
        </w:rPr>
        <w:t>Step 2：预结算。</w:t>
      </w:r>
    </w:p>
    <w:p w14:paraId="03AC6577">
      <w:pPr>
        <w:ind w:firstLine="420"/>
        <w:rPr>
          <w:sz w:val="21"/>
          <w:szCs w:val="21"/>
          <w:lang w:eastAsia="zh-CN"/>
        </w:rPr>
      </w:pPr>
      <w:r>
        <w:rPr>
          <w:rFonts w:ascii="宋体" w:hAnsi="宋体" w:eastAsia="宋体"/>
          <w:sz w:val="21"/>
          <w:szCs w:val="21"/>
          <w:lang w:eastAsia="zh-CN"/>
        </w:rPr>
        <w:t>CRC</w:t>
      </w:r>
      <w:r>
        <w:rPr>
          <w:rFonts w:hint="eastAsia" w:ascii="宋体" w:hAnsi="宋体" w:eastAsia="宋体"/>
          <w:sz w:val="21"/>
          <w:szCs w:val="21"/>
          <w:lang w:eastAsia="zh-CN"/>
        </w:rPr>
        <w:t>或项目研究者</w:t>
      </w:r>
      <w:r>
        <w:rPr>
          <w:rFonts w:ascii="宋体" w:hAnsi="宋体" w:eastAsia="宋体"/>
          <w:sz w:val="21"/>
          <w:szCs w:val="21"/>
          <w:lang w:eastAsia="zh-CN"/>
        </w:rPr>
        <w:t>须提前至 F 栋 1 楼办理"免费通道"结算手续，逐项核对方案规定由申办方承担的费用，确认通道记账正确、无误用、无漏结。</w:t>
      </w:r>
    </w:p>
    <w:p w14:paraId="2A8C1F7E">
      <w:pPr>
        <w:ind w:firstLine="420"/>
        <w:rPr>
          <w:sz w:val="21"/>
          <w:szCs w:val="21"/>
          <w:lang w:eastAsia="zh-CN"/>
        </w:rPr>
      </w:pPr>
      <w:r>
        <w:rPr>
          <w:rFonts w:ascii="宋体" w:hAnsi="宋体" w:eastAsia="宋体"/>
          <w:sz w:val="21"/>
          <w:szCs w:val="21"/>
          <w:lang w:eastAsia="zh-CN"/>
        </w:rPr>
        <w:t>Step 3：患者正式结账。</w:t>
      </w:r>
    </w:p>
    <w:p w14:paraId="08EA6C0E">
      <w:pPr>
        <w:ind w:firstLine="420"/>
        <w:rPr>
          <w:sz w:val="21"/>
          <w:szCs w:val="21"/>
          <w:lang w:eastAsia="zh-CN"/>
        </w:rPr>
      </w:pPr>
      <w:r>
        <w:rPr>
          <w:rFonts w:ascii="宋体" w:hAnsi="宋体" w:eastAsia="宋体"/>
          <w:sz w:val="21"/>
          <w:szCs w:val="21"/>
          <w:lang w:eastAsia="zh-CN"/>
        </w:rPr>
        <w:t>完成免费通道结算后，患者再办理出院结账（自费/医保部分）。</w:t>
      </w:r>
    </w:p>
    <w:p w14:paraId="5DE90EC1">
      <w:pPr>
        <w:spacing w:before="120" w:after="120"/>
        <w:ind w:left="420" w:right="420"/>
        <w:rPr>
          <w:sz w:val="21"/>
          <w:szCs w:val="21"/>
          <w:lang w:eastAsia="zh-CN"/>
        </w:rPr>
      </w:pPr>
      <w:r>
        <w:rPr>
          <w:rFonts w:ascii="宋体" w:hAnsi="宋体" w:eastAsia="宋体"/>
          <w:b/>
          <w:color w:val="C00000"/>
          <w:sz w:val="21"/>
          <w:szCs w:val="21"/>
          <w:lang w:eastAsia="zh-CN"/>
        </w:rPr>
        <w:t>【重要提示】严格执行上述结算流程，可避免影响受试者医保待遇、避免医院医保扣款，确保临床试验费用合规处理。如未按流程操作导致医保结算纠纷，由当次开嘱医师、项目组共同承担相应责任。</w:t>
      </w:r>
    </w:p>
    <w:p w14:paraId="7F7A7065">
      <w:pPr>
        <w:spacing w:before="240" w:after="120"/>
        <w:rPr>
          <w:lang w:eastAsia="zh-CN"/>
        </w:rPr>
      </w:pPr>
      <w:r>
        <w:rPr>
          <w:rFonts w:ascii="黑体" w:hAnsi="黑体" w:eastAsia="黑体"/>
          <w:b/>
          <w:sz w:val="28"/>
          <w:lang w:eastAsia="zh-CN"/>
        </w:rPr>
        <w:t>五、研究者责任与违规处理</w:t>
      </w:r>
    </w:p>
    <w:p w14:paraId="25A6935E">
      <w:pPr>
        <w:spacing w:before="120" w:after="60"/>
        <w:rPr>
          <w:lang w:eastAsia="zh-CN"/>
        </w:rPr>
      </w:pPr>
      <w:r>
        <w:rPr>
          <w:rFonts w:ascii="黑体" w:hAnsi="黑体" w:eastAsia="黑体"/>
          <w:b/>
          <w:sz w:val="24"/>
          <w:lang w:eastAsia="zh-CN"/>
        </w:rPr>
        <w:t>（一）研究者责任</w:t>
      </w:r>
    </w:p>
    <w:p w14:paraId="3ACC88C5">
      <w:pPr>
        <w:ind w:firstLine="420"/>
        <w:rPr>
          <w:lang w:eastAsia="zh-CN"/>
        </w:rPr>
      </w:pPr>
      <w:r>
        <w:rPr>
          <w:rFonts w:ascii="宋体" w:hAnsi="宋体" w:eastAsia="宋体"/>
          <w:sz w:val="21"/>
          <w:lang w:eastAsia="zh-CN"/>
        </w:rPr>
        <w:t>1. 研究者作为临床试验的直接责任人，须确保每一条医嘱、每一项检查均符合方案、GCP、本院 SOP 及医保相关规定。</w:t>
      </w:r>
    </w:p>
    <w:p w14:paraId="7B48D039">
      <w:pPr>
        <w:ind w:firstLine="420"/>
        <w:rPr>
          <w:lang w:eastAsia="zh-CN"/>
        </w:rPr>
      </w:pPr>
      <w:r>
        <w:rPr>
          <w:rFonts w:ascii="宋体" w:hAnsi="宋体" w:eastAsia="宋体"/>
          <w:sz w:val="21"/>
          <w:lang w:eastAsia="zh-CN"/>
        </w:rPr>
        <w:t>2. 因医师个人原因造成免费通道错用、违规医保记账、经费结算错误的，由该医师承担相应经济及行政责任。</w:t>
      </w:r>
    </w:p>
    <w:p w14:paraId="7CBCC060">
      <w:pPr>
        <w:ind w:firstLine="420"/>
        <w:rPr>
          <w:lang w:eastAsia="zh-CN"/>
        </w:rPr>
      </w:pPr>
      <w:r>
        <w:rPr>
          <w:rFonts w:ascii="宋体" w:hAnsi="宋体" w:eastAsia="宋体"/>
          <w:sz w:val="21"/>
          <w:lang w:eastAsia="zh-CN"/>
        </w:rPr>
        <w:t>3. 项目结束（含提前终止、方案修订需关闭部分通道）后，项目组须及时</w:t>
      </w:r>
      <w:r>
        <w:rPr>
          <w:rFonts w:hint="eastAsia" w:ascii="宋体" w:hAnsi="宋体" w:eastAsia="宋体"/>
          <w:sz w:val="21"/>
          <w:lang w:eastAsia="zh-CN"/>
        </w:rPr>
        <w:t>在原申请路径申请</w:t>
      </w:r>
      <w:r>
        <w:rPr>
          <w:rFonts w:ascii="宋体" w:hAnsi="宋体" w:eastAsia="宋体"/>
          <w:sz w:val="21"/>
          <w:lang w:eastAsia="zh-CN"/>
        </w:rPr>
        <w:t>关闭免费通道。</w:t>
      </w:r>
    </w:p>
    <w:p w14:paraId="3D5AF153">
      <w:pPr>
        <w:spacing w:before="120" w:after="60"/>
        <w:rPr>
          <w:lang w:eastAsia="zh-CN"/>
        </w:rPr>
      </w:pPr>
      <w:r>
        <w:rPr>
          <w:rFonts w:ascii="黑体" w:hAnsi="黑体" w:eastAsia="黑体"/>
          <w:b/>
          <w:sz w:val="24"/>
          <w:lang w:eastAsia="zh-CN"/>
        </w:rPr>
        <w:t>（二）违规处理</w:t>
      </w:r>
    </w:p>
    <w:p w14:paraId="546A348F">
      <w:pPr>
        <w:ind w:firstLine="420"/>
        <w:rPr>
          <w:rFonts w:eastAsia="宋体"/>
          <w:lang w:eastAsia="zh-CN"/>
        </w:rPr>
      </w:pPr>
      <w:r>
        <w:rPr>
          <w:rFonts w:ascii="宋体" w:hAnsi="宋体" w:eastAsia="宋体"/>
          <w:sz w:val="21"/>
          <w:lang w:eastAsia="zh-CN"/>
        </w:rPr>
        <w:t>1. 首次发现违规使用：机构将约谈研究者及 PI，要求书面整改；情节涉及医保的，同步报送医保办</w:t>
      </w:r>
      <w:r>
        <w:rPr>
          <w:rFonts w:hint="eastAsia" w:ascii="宋体" w:hAnsi="宋体" w:eastAsia="宋体"/>
          <w:sz w:val="21"/>
          <w:lang w:eastAsia="zh-CN"/>
        </w:rPr>
        <w:t>。</w:t>
      </w:r>
    </w:p>
    <w:p w14:paraId="1AF1688C">
      <w:pPr>
        <w:ind w:firstLine="420"/>
        <w:rPr>
          <w:lang w:eastAsia="zh-CN"/>
        </w:rPr>
      </w:pPr>
      <w:r>
        <w:rPr>
          <w:rFonts w:ascii="宋体" w:hAnsi="宋体" w:eastAsia="宋体"/>
          <w:sz w:val="21"/>
          <w:lang w:eastAsia="zh-CN"/>
        </w:rPr>
        <w:t>2. 二次违规或造成医保结算后果的：暂停该研究者免费通道使用权限 3—6 个月，由机构讨论后出具处理意见。</w:t>
      </w:r>
    </w:p>
    <w:p w14:paraId="61F5759D">
      <w:pPr>
        <w:ind w:firstLine="420"/>
        <w:rPr>
          <w:lang w:eastAsia="zh-CN"/>
        </w:rPr>
      </w:pPr>
      <w:r>
        <w:rPr>
          <w:rFonts w:ascii="宋体" w:hAnsi="宋体" w:eastAsia="宋体"/>
          <w:sz w:val="21"/>
          <w:lang w:eastAsia="zh-CN"/>
        </w:rPr>
        <w:t>3.</w:t>
      </w:r>
      <w:r>
        <w:rPr>
          <w:rFonts w:hint="eastAsia"/>
          <w:lang w:eastAsia="zh-CN"/>
        </w:rPr>
        <w:t xml:space="preserve"> </w:t>
      </w:r>
      <w:r>
        <w:rPr>
          <w:rFonts w:hint="eastAsia" w:ascii="宋体" w:hAnsi="宋体" w:eastAsia="宋体"/>
          <w:sz w:val="21"/>
          <w:lang w:eastAsia="zh-CN"/>
        </w:rPr>
        <w:t>情节严重、造成恶劣影响或涉嫌违法违规的，机构将按本院及国家有关规定处理，必要时上报卫生健康主管部门，包括但不限于：移送纪检监察部门、建议医师协会给予行业处分、依法追究法律责任。对于涉嫌骗取医保基金的，将依法移交医疗保障行政部门或司法机关处理。</w:t>
      </w:r>
    </w:p>
    <w:p w14:paraId="69F83519">
      <w:pPr>
        <w:spacing w:before="240" w:after="120"/>
        <w:rPr>
          <w:lang w:eastAsia="zh-CN"/>
        </w:rPr>
      </w:pPr>
      <w:r>
        <w:rPr>
          <w:rFonts w:ascii="黑体" w:hAnsi="黑体" w:eastAsia="黑体"/>
          <w:b/>
          <w:sz w:val="28"/>
          <w:lang w:eastAsia="zh-CN"/>
        </w:rPr>
        <w:t>六、签字确认</w:t>
      </w:r>
    </w:p>
    <w:p w14:paraId="455D3E39">
      <w:pPr>
        <w:ind w:firstLine="420"/>
        <w:rPr>
          <w:lang w:eastAsia="zh-CN"/>
        </w:rPr>
      </w:pPr>
      <w:r>
        <w:rPr>
          <w:rFonts w:ascii="宋体" w:hAnsi="宋体" w:eastAsia="宋体"/>
          <w:sz w:val="21"/>
          <w:lang w:eastAsia="zh-CN"/>
        </w:rPr>
        <w:t>本人已认真阅读本告知函全部内容，充分理解 GCP 免费通道的使用范围、医保合规红线、出院结算流程及违规责任。本人承诺在参与本项目期间严格按本告知函执行，不违规使用免费通道、不将试验费用违规走医保、不为非受试者开立本通道医嘱。</w:t>
      </w:r>
    </w:p>
    <w:p w14:paraId="28222D60">
      <w:pPr>
        <w:spacing w:before="120" w:after="60"/>
      </w:pPr>
      <w:r>
        <w:rPr>
          <w:rFonts w:ascii="黑体" w:hAnsi="黑体" w:eastAsia="黑体"/>
          <w:b/>
          <w:sz w:val="24"/>
        </w:rPr>
        <w:t>（一）项目基本信息</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3118"/>
        <w:gridCol w:w="1814"/>
        <w:gridCol w:w="3118"/>
      </w:tblGrid>
      <w:tr w14:paraId="17BA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shd w:val="clear" w:color="auto" w:fill="D9E2F3"/>
            <w:vAlign w:val="center"/>
          </w:tcPr>
          <w:p w14:paraId="6F76AEE1">
            <w:pPr>
              <w:spacing w:after="0"/>
              <w:jc w:val="center"/>
            </w:pPr>
            <w:r>
              <w:rPr>
                <w:rFonts w:ascii="宋体" w:hAnsi="宋体" w:eastAsia="宋体"/>
                <w:b/>
                <w:sz w:val="21"/>
              </w:rPr>
              <w:t>项目名称</w:t>
            </w:r>
          </w:p>
        </w:tc>
        <w:tc>
          <w:tcPr>
            <w:tcW w:w="3118" w:type="dxa"/>
            <w:vAlign w:val="center"/>
          </w:tcPr>
          <w:p w14:paraId="0031A4DE">
            <w:pPr>
              <w:spacing w:after="0"/>
            </w:pPr>
          </w:p>
        </w:tc>
        <w:tc>
          <w:tcPr>
            <w:tcW w:w="1814" w:type="dxa"/>
            <w:shd w:val="clear" w:color="auto" w:fill="D9E2F3"/>
            <w:vAlign w:val="center"/>
          </w:tcPr>
          <w:p w14:paraId="4793E995">
            <w:pPr>
              <w:spacing w:after="0"/>
              <w:jc w:val="center"/>
            </w:pPr>
            <w:r>
              <w:rPr>
                <w:rFonts w:ascii="宋体" w:hAnsi="宋体" w:eastAsia="宋体"/>
                <w:b/>
                <w:sz w:val="21"/>
              </w:rPr>
              <w:t>项目编号</w:t>
            </w:r>
          </w:p>
        </w:tc>
        <w:tc>
          <w:tcPr>
            <w:tcW w:w="3118" w:type="dxa"/>
            <w:vAlign w:val="center"/>
          </w:tcPr>
          <w:p w14:paraId="35CD7E82">
            <w:pPr>
              <w:spacing w:after="0"/>
            </w:pPr>
          </w:p>
        </w:tc>
      </w:tr>
      <w:tr w14:paraId="7A24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shd w:val="clear" w:color="auto" w:fill="D9E2F3"/>
            <w:vAlign w:val="center"/>
          </w:tcPr>
          <w:p w14:paraId="75ED9762">
            <w:pPr>
              <w:spacing w:after="0"/>
              <w:jc w:val="center"/>
            </w:pPr>
            <w:r>
              <w:rPr>
                <w:rFonts w:ascii="宋体" w:hAnsi="宋体" w:eastAsia="宋体"/>
                <w:b/>
                <w:sz w:val="21"/>
              </w:rPr>
              <w:t>申办方</w:t>
            </w:r>
          </w:p>
        </w:tc>
        <w:tc>
          <w:tcPr>
            <w:tcW w:w="3118" w:type="dxa"/>
            <w:vAlign w:val="center"/>
          </w:tcPr>
          <w:p w14:paraId="0D83A5BA">
            <w:pPr>
              <w:spacing w:after="0"/>
            </w:pPr>
          </w:p>
        </w:tc>
        <w:tc>
          <w:tcPr>
            <w:tcW w:w="1814" w:type="dxa"/>
            <w:shd w:val="clear" w:color="auto" w:fill="D9E2F3"/>
            <w:vAlign w:val="center"/>
          </w:tcPr>
          <w:p w14:paraId="421724EC">
            <w:pPr>
              <w:spacing w:after="0"/>
              <w:jc w:val="center"/>
            </w:pPr>
            <w:r>
              <w:rPr>
                <w:rFonts w:ascii="宋体" w:hAnsi="宋体" w:eastAsia="宋体"/>
                <w:b/>
                <w:sz w:val="21"/>
              </w:rPr>
              <w:t>临床试验分期</w:t>
            </w:r>
          </w:p>
        </w:tc>
        <w:tc>
          <w:tcPr>
            <w:tcW w:w="3118" w:type="dxa"/>
            <w:vAlign w:val="center"/>
          </w:tcPr>
          <w:p w14:paraId="4191BA0B">
            <w:pPr>
              <w:spacing w:after="0"/>
              <w:rPr>
                <w:lang w:eastAsia="zh-CN"/>
              </w:rPr>
            </w:pPr>
            <w:r>
              <w:rPr>
                <w:rFonts w:ascii="宋体" w:hAnsi="宋体" w:eastAsia="宋体"/>
                <w:sz w:val="21"/>
                <w:lang w:eastAsia="zh-CN"/>
              </w:rPr>
              <w:t>□Ⅰ期  □Ⅱ期  □Ⅲ期  □Ⅳ期</w:t>
            </w:r>
            <w:r>
              <w:rPr>
                <w:rFonts w:hint="eastAsia" w:ascii="宋体" w:hAnsi="宋体" w:eastAsia="宋体"/>
                <w:sz w:val="21"/>
                <w:lang w:eastAsia="zh-CN"/>
              </w:rPr>
              <w:t xml:space="preserve">  </w:t>
            </w:r>
            <w:r>
              <w:rPr>
                <w:rFonts w:ascii="宋体" w:hAnsi="宋体" w:eastAsia="宋体"/>
                <w:sz w:val="21"/>
                <w:lang w:eastAsia="zh-CN"/>
              </w:rPr>
              <w:t>□</w:t>
            </w:r>
            <w:r>
              <w:rPr>
                <w:rFonts w:hint="eastAsia" w:ascii="宋体" w:hAnsi="宋体" w:eastAsia="宋体"/>
                <w:sz w:val="21"/>
                <w:lang w:eastAsia="zh-CN"/>
              </w:rPr>
              <w:t>IIT项目</w:t>
            </w:r>
          </w:p>
        </w:tc>
      </w:tr>
      <w:tr w14:paraId="3CAC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shd w:val="clear" w:color="auto" w:fill="D9E2F3"/>
            <w:vAlign w:val="center"/>
          </w:tcPr>
          <w:p w14:paraId="7C3883B1">
            <w:pPr>
              <w:spacing w:after="0"/>
              <w:jc w:val="center"/>
            </w:pPr>
            <w:r>
              <w:rPr>
                <w:rFonts w:ascii="宋体" w:hAnsi="宋体" w:eastAsia="宋体"/>
                <w:b/>
                <w:sz w:val="21"/>
              </w:rPr>
              <w:t>主要研究者（PI）</w:t>
            </w:r>
          </w:p>
        </w:tc>
        <w:tc>
          <w:tcPr>
            <w:tcW w:w="3118" w:type="dxa"/>
            <w:vAlign w:val="center"/>
          </w:tcPr>
          <w:p w14:paraId="4366F268">
            <w:pPr>
              <w:spacing w:after="0"/>
            </w:pPr>
          </w:p>
        </w:tc>
        <w:tc>
          <w:tcPr>
            <w:tcW w:w="1814" w:type="dxa"/>
            <w:shd w:val="clear" w:color="auto" w:fill="D9E2F3"/>
            <w:vAlign w:val="center"/>
          </w:tcPr>
          <w:p w14:paraId="4F50C1E8">
            <w:pPr>
              <w:spacing w:after="0"/>
              <w:jc w:val="center"/>
            </w:pPr>
            <w:r>
              <w:rPr>
                <w:rFonts w:ascii="宋体" w:hAnsi="宋体" w:eastAsia="宋体"/>
                <w:b/>
                <w:sz w:val="21"/>
              </w:rPr>
              <w:t>PI 工号</w:t>
            </w:r>
          </w:p>
        </w:tc>
        <w:tc>
          <w:tcPr>
            <w:tcW w:w="3118" w:type="dxa"/>
            <w:vAlign w:val="center"/>
          </w:tcPr>
          <w:p w14:paraId="047A24FB">
            <w:pPr>
              <w:spacing w:after="0"/>
            </w:pPr>
          </w:p>
        </w:tc>
      </w:tr>
      <w:tr w14:paraId="63A0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shd w:val="clear" w:color="auto" w:fill="D9E2F3"/>
            <w:vAlign w:val="center"/>
          </w:tcPr>
          <w:p w14:paraId="2BC29BDD">
            <w:pPr>
              <w:spacing w:after="0"/>
              <w:jc w:val="center"/>
            </w:pPr>
            <w:r>
              <w:rPr>
                <w:rFonts w:ascii="宋体" w:hAnsi="宋体" w:eastAsia="宋体"/>
                <w:b/>
                <w:sz w:val="21"/>
              </w:rPr>
              <w:t>免费通道名称</w:t>
            </w:r>
          </w:p>
        </w:tc>
        <w:tc>
          <w:tcPr>
            <w:tcW w:w="3118" w:type="dxa"/>
            <w:vAlign w:val="center"/>
          </w:tcPr>
          <w:p w14:paraId="556D3048">
            <w:pPr>
              <w:spacing w:after="0"/>
            </w:pPr>
          </w:p>
        </w:tc>
        <w:tc>
          <w:tcPr>
            <w:tcW w:w="1814" w:type="dxa"/>
            <w:shd w:val="clear" w:color="auto" w:fill="D9E2F3"/>
            <w:vAlign w:val="center"/>
          </w:tcPr>
          <w:p w14:paraId="69967F5B">
            <w:pPr>
              <w:spacing w:after="0"/>
              <w:jc w:val="center"/>
            </w:pPr>
            <w:r>
              <w:rPr>
                <w:rFonts w:ascii="宋体" w:hAnsi="宋体" w:eastAsia="宋体"/>
                <w:b/>
                <w:sz w:val="21"/>
              </w:rPr>
              <w:t>通道开通日期</w:t>
            </w:r>
          </w:p>
        </w:tc>
        <w:tc>
          <w:tcPr>
            <w:tcW w:w="3118" w:type="dxa"/>
            <w:vAlign w:val="center"/>
          </w:tcPr>
          <w:p w14:paraId="47B78C8D">
            <w:pPr>
              <w:spacing w:after="0"/>
            </w:pPr>
          </w:p>
        </w:tc>
      </w:tr>
      <w:tr w14:paraId="797F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shd w:val="clear" w:color="auto" w:fill="D9E2F3"/>
            <w:vAlign w:val="center"/>
          </w:tcPr>
          <w:p w14:paraId="5C0D8837">
            <w:pPr>
              <w:spacing w:after="0"/>
              <w:jc w:val="center"/>
            </w:pPr>
            <w:r>
              <w:rPr>
                <w:rFonts w:ascii="宋体" w:hAnsi="宋体" w:eastAsia="宋体"/>
                <w:b/>
                <w:sz w:val="21"/>
              </w:rPr>
              <w:t>计划关闭日期</w:t>
            </w:r>
          </w:p>
        </w:tc>
        <w:tc>
          <w:tcPr>
            <w:tcW w:w="3118" w:type="dxa"/>
            <w:vAlign w:val="center"/>
          </w:tcPr>
          <w:p w14:paraId="7CF86025">
            <w:pPr>
              <w:spacing w:after="0"/>
            </w:pPr>
          </w:p>
        </w:tc>
        <w:tc>
          <w:tcPr>
            <w:tcW w:w="1814" w:type="dxa"/>
            <w:shd w:val="clear" w:color="auto" w:fill="D9E2F3"/>
            <w:vAlign w:val="center"/>
          </w:tcPr>
          <w:p w14:paraId="26A93D57">
            <w:pPr>
              <w:spacing w:after="0"/>
              <w:jc w:val="center"/>
            </w:pPr>
            <w:r>
              <w:rPr>
                <w:rFonts w:ascii="宋体" w:hAnsi="宋体" w:eastAsia="宋体"/>
                <w:b/>
                <w:sz w:val="21"/>
              </w:rPr>
              <w:t>协议号</w:t>
            </w:r>
          </w:p>
        </w:tc>
        <w:tc>
          <w:tcPr>
            <w:tcW w:w="3118" w:type="dxa"/>
            <w:vAlign w:val="center"/>
          </w:tcPr>
          <w:p w14:paraId="12D8619B">
            <w:pPr>
              <w:spacing w:after="0"/>
            </w:pPr>
          </w:p>
        </w:tc>
      </w:tr>
    </w:tbl>
    <w:p w14:paraId="202B47FF"/>
    <w:p w14:paraId="3175DD52">
      <w:pPr>
        <w:spacing w:before="120" w:after="60"/>
        <w:rPr>
          <w:rFonts w:hint="eastAsia" w:ascii="黑体" w:hAnsi="黑体" w:eastAsia="黑体"/>
          <w:b/>
          <w:sz w:val="24"/>
          <w:lang w:eastAsia="zh-CN"/>
        </w:rPr>
      </w:pPr>
      <w:r>
        <w:rPr>
          <w:rFonts w:ascii="黑体" w:hAnsi="黑体" w:eastAsia="黑体"/>
          <w:b/>
          <w:sz w:val="24"/>
          <w:lang w:eastAsia="zh-CN"/>
        </w:rPr>
        <w:t>（二）授权免费通道的研究者签字</w:t>
      </w:r>
      <w:r>
        <w:rPr>
          <w:rFonts w:hint="eastAsia" w:ascii="黑体" w:hAnsi="黑体" w:eastAsia="黑体"/>
          <w:b/>
          <w:sz w:val="24"/>
          <w:lang w:eastAsia="zh-CN"/>
        </w:rPr>
        <w:t xml:space="preserve"> （如有人数较多请在最后补充）</w:t>
      </w:r>
    </w:p>
    <w:tbl>
      <w:tblPr>
        <w:tblStyle w:val="35"/>
        <w:tblW w:w="9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34"/>
        <w:gridCol w:w="1134"/>
        <w:gridCol w:w="1701"/>
        <w:gridCol w:w="2835"/>
        <w:gridCol w:w="2381"/>
      </w:tblGrid>
      <w:tr w14:paraId="664D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D9E2F3"/>
            <w:vAlign w:val="center"/>
          </w:tcPr>
          <w:p w14:paraId="018528CE">
            <w:pPr>
              <w:spacing w:after="0"/>
              <w:jc w:val="center"/>
            </w:pPr>
            <w:r>
              <w:rPr>
                <w:rFonts w:ascii="宋体" w:hAnsi="宋体" w:eastAsia="宋体"/>
                <w:b/>
                <w:sz w:val="21"/>
              </w:rPr>
              <w:t>序号</w:t>
            </w:r>
          </w:p>
        </w:tc>
        <w:tc>
          <w:tcPr>
            <w:tcW w:w="1134" w:type="dxa"/>
            <w:shd w:val="clear" w:color="auto" w:fill="D9E2F3"/>
            <w:vAlign w:val="center"/>
          </w:tcPr>
          <w:p w14:paraId="621BF2D6">
            <w:pPr>
              <w:spacing w:after="0"/>
              <w:jc w:val="center"/>
            </w:pPr>
            <w:r>
              <w:rPr>
                <w:rFonts w:ascii="宋体" w:hAnsi="宋体" w:eastAsia="宋体"/>
                <w:b/>
                <w:sz w:val="21"/>
              </w:rPr>
              <w:t>姓名</w:t>
            </w:r>
          </w:p>
        </w:tc>
        <w:tc>
          <w:tcPr>
            <w:tcW w:w="1134" w:type="dxa"/>
            <w:shd w:val="clear" w:color="auto" w:fill="D9E2F3"/>
            <w:vAlign w:val="center"/>
          </w:tcPr>
          <w:p w14:paraId="36895574">
            <w:pPr>
              <w:spacing w:after="0"/>
              <w:jc w:val="center"/>
            </w:pPr>
            <w:r>
              <w:rPr>
                <w:rFonts w:ascii="宋体" w:hAnsi="宋体" w:eastAsia="宋体"/>
                <w:b/>
                <w:sz w:val="21"/>
              </w:rPr>
              <w:t>工号</w:t>
            </w:r>
          </w:p>
        </w:tc>
        <w:tc>
          <w:tcPr>
            <w:tcW w:w="1701" w:type="dxa"/>
            <w:shd w:val="clear" w:color="auto" w:fill="D9E2F3"/>
            <w:vAlign w:val="center"/>
          </w:tcPr>
          <w:p w14:paraId="5B606EFB">
            <w:pPr>
              <w:spacing w:after="0"/>
              <w:jc w:val="center"/>
            </w:pPr>
            <w:r>
              <w:rPr>
                <w:rFonts w:ascii="宋体" w:hAnsi="宋体" w:eastAsia="宋体"/>
                <w:b/>
                <w:sz w:val="21"/>
              </w:rPr>
              <w:t>职称/职务</w:t>
            </w:r>
          </w:p>
        </w:tc>
        <w:tc>
          <w:tcPr>
            <w:tcW w:w="2835" w:type="dxa"/>
            <w:shd w:val="clear" w:color="auto" w:fill="D9E2F3"/>
            <w:vAlign w:val="center"/>
          </w:tcPr>
          <w:p w14:paraId="1EFC67F1">
            <w:pPr>
              <w:spacing w:after="0"/>
              <w:jc w:val="center"/>
            </w:pPr>
            <w:r>
              <w:rPr>
                <w:rFonts w:ascii="宋体" w:hAnsi="宋体" w:eastAsia="宋体"/>
                <w:b/>
                <w:sz w:val="21"/>
              </w:rPr>
              <w:t>签字</w:t>
            </w:r>
          </w:p>
        </w:tc>
        <w:tc>
          <w:tcPr>
            <w:tcW w:w="2381" w:type="dxa"/>
            <w:shd w:val="clear" w:color="auto" w:fill="D9E2F3"/>
            <w:vAlign w:val="center"/>
          </w:tcPr>
          <w:p w14:paraId="6C764C75">
            <w:pPr>
              <w:spacing w:after="0"/>
              <w:jc w:val="center"/>
            </w:pPr>
            <w:r>
              <w:rPr>
                <w:rFonts w:ascii="宋体" w:hAnsi="宋体" w:eastAsia="宋体"/>
                <w:b/>
                <w:sz w:val="21"/>
              </w:rPr>
              <w:t>日期</w:t>
            </w:r>
          </w:p>
        </w:tc>
      </w:tr>
      <w:tr w14:paraId="1698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5F26E273">
            <w:pPr>
              <w:spacing w:after="0"/>
              <w:jc w:val="center"/>
            </w:pPr>
            <w:r>
              <w:rPr>
                <w:rFonts w:ascii="宋体" w:hAnsi="宋体" w:eastAsia="宋体"/>
                <w:sz w:val="21"/>
              </w:rPr>
              <w:t>1</w:t>
            </w:r>
          </w:p>
        </w:tc>
        <w:tc>
          <w:tcPr>
            <w:tcW w:w="1134" w:type="dxa"/>
            <w:vAlign w:val="center"/>
          </w:tcPr>
          <w:p w14:paraId="2ED769C2">
            <w:pPr>
              <w:spacing w:after="0"/>
            </w:pPr>
          </w:p>
        </w:tc>
        <w:tc>
          <w:tcPr>
            <w:tcW w:w="1134" w:type="dxa"/>
            <w:vAlign w:val="center"/>
          </w:tcPr>
          <w:p w14:paraId="4E58D3AB">
            <w:pPr>
              <w:spacing w:after="0"/>
            </w:pPr>
          </w:p>
        </w:tc>
        <w:tc>
          <w:tcPr>
            <w:tcW w:w="1701" w:type="dxa"/>
            <w:vAlign w:val="center"/>
          </w:tcPr>
          <w:p w14:paraId="4096A1DE">
            <w:pPr>
              <w:spacing w:after="0"/>
            </w:pPr>
          </w:p>
        </w:tc>
        <w:tc>
          <w:tcPr>
            <w:tcW w:w="2835" w:type="dxa"/>
            <w:vAlign w:val="center"/>
          </w:tcPr>
          <w:p w14:paraId="43AEA781">
            <w:pPr>
              <w:spacing w:after="0"/>
            </w:pPr>
          </w:p>
        </w:tc>
        <w:tc>
          <w:tcPr>
            <w:tcW w:w="2381" w:type="dxa"/>
            <w:vAlign w:val="center"/>
          </w:tcPr>
          <w:p w14:paraId="0FDAE706">
            <w:pPr>
              <w:spacing w:after="0"/>
            </w:pPr>
          </w:p>
        </w:tc>
      </w:tr>
      <w:tr w14:paraId="6C71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3D1A87AB">
            <w:pPr>
              <w:spacing w:after="0"/>
              <w:jc w:val="center"/>
            </w:pPr>
            <w:r>
              <w:rPr>
                <w:rFonts w:ascii="宋体" w:hAnsi="宋体" w:eastAsia="宋体"/>
                <w:sz w:val="21"/>
              </w:rPr>
              <w:t>2</w:t>
            </w:r>
          </w:p>
        </w:tc>
        <w:tc>
          <w:tcPr>
            <w:tcW w:w="1134" w:type="dxa"/>
            <w:vAlign w:val="center"/>
          </w:tcPr>
          <w:p w14:paraId="28BCB172">
            <w:pPr>
              <w:spacing w:after="0"/>
            </w:pPr>
          </w:p>
        </w:tc>
        <w:tc>
          <w:tcPr>
            <w:tcW w:w="1134" w:type="dxa"/>
            <w:vAlign w:val="center"/>
          </w:tcPr>
          <w:p w14:paraId="29A3AADA">
            <w:pPr>
              <w:spacing w:after="0"/>
            </w:pPr>
          </w:p>
        </w:tc>
        <w:tc>
          <w:tcPr>
            <w:tcW w:w="1701" w:type="dxa"/>
            <w:vAlign w:val="center"/>
          </w:tcPr>
          <w:p w14:paraId="31A0EB8D">
            <w:pPr>
              <w:spacing w:after="0"/>
            </w:pPr>
          </w:p>
        </w:tc>
        <w:tc>
          <w:tcPr>
            <w:tcW w:w="2835" w:type="dxa"/>
            <w:vAlign w:val="center"/>
          </w:tcPr>
          <w:p w14:paraId="5A856812">
            <w:pPr>
              <w:spacing w:after="0"/>
            </w:pPr>
          </w:p>
        </w:tc>
        <w:tc>
          <w:tcPr>
            <w:tcW w:w="2381" w:type="dxa"/>
            <w:vAlign w:val="center"/>
          </w:tcPr>
          <w:p w14:paraId="6204170E">
            <w:pPr>
              <w:spacing w:after="0"/>
            </w:pPr>
          </w:p>
        </w:tc>
      </w:tr>
      <w:tr w14:paraId="1991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7A9781AA">
            <w:pPr>
              <w:spacing w:after="0"/>
              <w:jc w:val="center"/>
            </w:pPr>
            <w:r>
              <w:rPr>
                <w:rFonts w:ascii="宋体" w:hAnsi="宋体" w:eastAsia="宋体"/>
                <w:sz w:val="21"/>
              </w:rPr>
              <w:t>3</w:t>
            </w:r>
          </w:p>
        </w:tc>
        <w:tc>
          <w:tcPr>
            <w:tcW w:w="1134" w:type="dxa"/>
            <w:vAlign w:val="center"/>
          </w:tcPr>
          <w:p w14:paraId="11A571AF">
            <w:pPr>
              <w:spacing w:after="0"/>
            </w:pPr>
          </w:p>
        </w:tc>
        <w:tc>
          <w:tcPr>
            <w:tcW w:w="1134" w:type="dxa"/>
            <w:vAlign w:val="center"/>
          </w:tcPr>
          <w:p w14:paraId="4982F17F">
            <w:pPr>
              <w:spacing w:after="0"/>
            </w:pPr>
          </w:p>
        </w:tc>
        <w:tc>
          <w:tcPr>
            <w:tcW w:w="1701" w:type="dxa"/>
            <w:vAlign w:val="center"/>
          </w:tcPr>
          <w:p w14:paraId="3B4525E4">
            <w:pPr>
              <w:spacing w:after="0"/>
            </w:pPr>
          </w:p>
        </w:tc>
        <w:tc>
          <w:tcPr>
            <w:tcW w:w="2835" w:type="dxa"/>
            <w:vAlign w:val="center"/>
          </w:tcPr>
          <w:p w14:paraId="73C8B123">
            <w:pPr>
              <w:spacing w:after="0"/>
            </w:pPr>
          </w:p>
        </w:tc>
        <w:tc>
          <w:tcPr>
            <w:tcW w:w="2381" w:type="dxa"/>
            <w:vAlign w:val="center"/>
          </w:tcPr>
          <w:p w14:paraId="7C3B8252">
            <w:pPr>
              <w:spacing w:after="0"/>
            </w:pPr>
          </w:p>
        </w:tc>
      </w:tr>
      <w:tr w14:paraId="452B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1EDA7052">
            <w:pPr>
              <w:spacing w:after="0"/>
              <w:jc w:val="center"/>
            </w:pPr>
            <w:r>
              <w:rPr>
                <w:rFonts w:ascii="宋体" w:hAnsi="宋体" w:eastAsia="宋体"/>
                <w:sz w:val="21"/>
              </w:rPr>
              <w:t>4</w:t>
            </w:r>
          </w:p>
        </w:tc>
        <w:tc>
          <w:tcPr>
            <w:tcW w:w="1134" w:type="dxa"/>
            <w:vAlign w:val="center"/>
          </w:tcPr>
          <w:p w14:paraId="5DC5A13F">
            <w:pPr>
              <w:spacing w:after="0"/>
            </w:pPr>
          </w:p>
        </w:tc>
        <w:tc>
          <w:tcPr>
            <w:tcW w:w="1134" w:type="dxa"/>
            <w:vAlign w:val="center"/>
          </w:tcPr>
          <w:p w14:paraId="6686DB18">
            <w:pPr>
              <w:spacing w:after="0"/>
            </w:pPr>
          </w:p>
        </w:tc>
        <w:tc>
          <w:tcPr>
            <w:tcW w:w="1701" w:type="dxa"/>
            <w:vAlign w:val="center"/>
          </w:tcPr>
          <w:p w14:paraId="17105761">
            <w:pPr>
              <w:spacing w:after="0"/>
            </w:pPr>
          </w:p>
        </w:tc>
        <w:tc>
          <w:tcPr>
            <w:tcW w:w="2835" w:type="dxa"/>
            <w:vAlign w:val="center"/>
          </w:tcPr>
          <w:p w14:paraId="54184AEE">
            <w:pPr>
              <w:spacing w:after="0"/>
            </w:pPr>
          </w:p>
        </w:tc>
        <w:tc>
          <w:tcPr>
            <w:tcW w:w="2381" w:type="dxa"/>
            <w:vAlign w:val="center"/>
          </w:tcPr>
          <w:p w14:paraId="5C053AA7">
            <w:pPr>
              <w:spacing w:after="0"/>
            </w:pPr>
          </w:p>
        </w:tc>
      </w:tr>
      <w:tr w14:paraId="07C6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7B87A03F">
            <w:pPr>
              <w:spacing w:after="0"/>
              <w:jc w:val="center"/>
            </w:pPr>
            <w:r>
              <w:rPr>
                <w:rFonts w:ascii="宋体" w:hAnsi="宋体" w:eastAsia="宋体"/>
                <w:sz w:val="21"/>
              </w:rPr>
              <w:t>5</w:t>
            </w:r>
          </w:p>
        </w:tc>
        <w:tc>
          <w:tcPr>
            <w:tcW w:w="1134" w:type="dxa"/>
            <w:vAlign w:val="center"/>
          </w:tcPr>
          <w:p w14:paraId="35AAC996">
            <w:pPr>
              <w:spacing w:after="0"/>
            </w:pPr>
          </w:p>
        </w:tc>
        <w:tc>
          <w:tcPr>
            <w:tcW w:w="1134" w:type="dxa"/>
            <w:vAlign w:val="center"/>
          </w:tcPr>
          <w:p w14:paraId="39FCEBE0">
            <w:pPr>
              <w:spacing w:after="0"/>
            </w:pPr>
          </w:p>
        </w:tc>
        <w:tc>
          <w:tcPr>
            <w:tcW w:w="1701" w:type="dxa"/>
            <w:vAlign w:val="center"/>
          </w:tcPr>
          <w:p w14:paraId="11880DA5">
            <w:pPr>
              <w:spacing w:after="0"/>
            </w:pPr>
          </w:p>
        </w:tc>
        <w:tc>
          <w:tcPr>
            <w:tcW w:w="2835" w:type="dxa"/>
            <w:vAlign w:val="center"/>
          </w:tcPr>
          <w:p w14:paraId="4AE4B60F">
            <w:pPr>
              <w:spacing w:after="0"/>
            </w:pPr>
          </w:p>
        </w:tc>
        <w:tc>
          <w:tcPr>
            <w:tcW w:w="2381" w:type="dxa"/>
            <w:vAlign w:val="center"/>
          </w:tcPr>
          <w:p w14:paraId="68DE1695">
            <w:pPr>
              <w:spacing w:after="0"/>
            </w:pPr>
          </w:p>
        </w:tc>
      </w:tr>
      <w:tr w14:paraId="3BCD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5CBC459F">
            <w:pPr>
              <w:spacing w:after="0"/>
              <w:jc w:val="center"/>
              <w:rPr>
                <w:rFonts w:ascii="宋体" w:hAnsi="宋体" w:eastAsia="宋体"/>
                <w:sz w:val="21"/>
              </w:rPr>
            </w:pPr>
            <w:r>
              <w:rPr>
                <w:rFonts w:hint="eastAsia" w:ascii="宋体" w:hAnsi="宋体" w:eastAsia="宋体"/>
                <w:sz w:val="21"/>
                <w:lang w:eastAsia="zh-CN"/>
              </w:rPr>
              <w:t>6</w:t>
            </w:r>
          </w:p>
        </w:tc>
        <w:tc>
          <w:tcPr>
            <w:tcW w:w="1134" w:type="dxa"/>
            <w:vAlign w:val="center"/>
          </w:tcPr>
          <w:p w14:paraId="0C8239B9">
            <w:pPr>
              <w:spacing w:after="0"/>
            </w:pPr>
          </w:p>
        </w:tc>
        <w:tc>
          <w:tcPr>
            <w:tcW w:w="1134" w:type="dxa"/>
            <w:vAlign w:val="center"/>
          </w:tcPr>
          <w:p w14:paraId="67B90A16">
            <w:pPr>
              <w:spacing w:after="0"/>
            </w:pPr>
          </w:p>
        </w:tc>
        <w:tc>
          <w:tcPr>
            <w:tcW w:w="1701" w:type="dxa"/>
            <w:vAlign w:val="center"/>
          </w:tcPr>
          <w:p w14:paraId="23B5B747">
            <w:pPr>
              <w:spacing w:after="0"/>
            </w:pPr>
          </w:p>
        </w:tc>
        <w:tc>
          <w:tcPr>
            <w:tcW w:w="2835" w:type="dxa"/>
            <w:vAlign w:val="center"/>
          </w:tcPr>
          <w:p w14:paraId="496EBB5C">
            <w:pPr>
              <w:spacing w:after="0"/>
            </w:pPr>
          </w:p>
        </w:tc>
        <w:tc>
          <w:tcPr>
            <w:tcW w:w="2381" w:type="dxa"/>
            <w:vAlign w:val="center"/>
          </w:tcPr>
          <w:p w14:paraId="531DA76A">
            <w:pPr>
              <w:spacing w:after="0"/>
            </w:pPr>
          </w:p>
        </w:tc>
      </w:tr>
      <w:tr w14:paraId="1444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69BCEFAA">
            <w:pPr>
              <w:spacing w:after="0"/>
              <w:jc w:val="center"/>
              <w:rPr>
                <w:rFonts w:ascii="宋体" w:hAnsi="宋体" w:eastAsia="宋体"/>
                <w:sz w:val="21"/>
              </w:rPr>
            </w:pPr>
            <w:r>
              <w:rPr>
                <w:rFonts w:hint="eastAsia" w:ascii="宋体" w:hAnsi="宋体" w:eastAsia="宋体"/>
                <w:sz w:val="21"/>
                <w:lang w:eastAsia="zh-CN"/>
              </w:rPr>
              <w:t>7</w:t>
            </w:r>
          </w:p>
        </w:tc>
        <w:tc>
          <w:tcPr>
            <w:tcW w:w="1134" w:type="dxa"/>
            <w:vAlign w:val="center"/>
          </w:tcPr>
          <w:p w14:paraId="056C4DC7">
            <w:pPr>
              <w:spacing w:after="0"/>
            </w:pPr>
          </w:p>
        </w:tc>
        <w:tc>
          <w:tcPr>
            <w:tcW w:w="1134" w:type="dxa"/>
            <w:vAlign w:val="center"/>
          </w:tcPr>
          <w:p w14:paraId="076240E9">
            <w:pPr>
              <w:spacing w:after="0"/>
            </w:pPr>
          </w:p>
        </w:tc>
        <w:tc>
          <w:tcPr>
            <w:tcW w:w="1701" w:type="dxa"/>
            <w:vAlign w:val="center"/>
          </w:tcPr>
          <w:p w14:paraId="3B07430D">
            <w:pPr>
              <w:spacing w:after="0"/>
            </w:pPr>
          </w:p>
        </w:tc>
        <w:tc>
          <w:tcPr>
            <w:tcW w:w="2835" w:type="dxa"/>
            <w:vAlign w:val="center"/>
          </w:tcPr>
          <w:p w14:paraId="551DE83A">
            <w:pPr>
              <w:spacing w:after="0"/>
            </w:pPr>
          </w:p>
        </w:tc>
        <w:tc>
          <w:tcPr>
            <w:tcW w:w="2381" w:type="dxa"/>
            <w:vAlign w:val="center"/>
          </w:tcPr>
          <w:p w14:paraId="32FA2ACA">
            <w:pPr>
              <w:spacing w:after="0"/>
            </w:pPr>
          </w:p>
        </w:tc>
      </w:tr>
      <w:tr w14:paraId="4C85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3F634622">
            <w:pPr>
              <w:spacing w:after="0"/>
              <w:jc w:val="center"/>
              <w:rPr>
                <w:rFonts w:ascii="宋体" w:hAnsi="宋体" w:eastAsia="宋体"/>
                <w:sz w:val="21"/>
              </w:rPr>
            </w:pPr>
            <w:r>
              <w:rPr>
                <w:rFonts w:hint="eastAsia" w:ascii="宋体" w:hAnsi="宋体" w:eastAsia="宋体"/>
                <w:sz w:val="21"/>
                <w:lang w:eastAsia="zh-CN"/>
              </w:rPr>
              <w:t>8</w:t>
            </w:r>
          </w:p>
        </w:tc>
        <w:tc>
          <w:tcPr>
            <w:tcW w:w="1134" w:type="dxa"/>
            <w:vAlign w:val="center"/>
          </w:tcPr>
          <w:p w14:paraId="6CE37BFF">
            <w:pPr>
              <w:spacing w:after="0"/>
            </w:pPr>
          </w:p>
        </w:tc>
        <w:tc>
          <w:tcPr>
            <w:tcW w:w="1134" w:type="dxa"/>
            <w:vAlign w:val="center"/>
          </w:tcPr>
          <w:p w14:paraId="2D3BBECE">
            <w:pPr>
              <w:spacing w:after="0"/>
            </w:pPr>
          </w:p>
        </w:tc>
        <w:tc>
          <w:tcPr>
            <w:tcW w:w="1701" w:type="dxa"/>
            <w:vAlign w:val="center"/>
          </w:tcPr>
          <w:p w14:paraId="7E9C2407">
            <w:pPr>
              <w:spacing w:after="0"/>
            </w:pPr>
          </w:p>
        </w:tc>
        <w:tc>
          <w:tcPr>
            <w:tcW w:w="2835" w:type="dxa"/>
            <w:vAlign w:val="center"/>
          </w:tcPr>
          <w:p w14:paraId="07916C0F">
            <w:pPr>
              <w:spacing w:after="0"/>
            </w:pPr>
          </w:p>
        </w:tc>
        <w:tc>
          <w:tcPr>
            <w:tcW w:w="2381" w:type="dxa"/>
            <w:vAlign w:val="center"/>
          </w:tcPr>
          <w:p w14:paraId="57E78A4C">
            <w:pPr>
              <w:spacing w:after="0"/>
            </w:pPr>
          </w:p>
        </w:tc>
      </w:tr>
      <w:tr w14:paraId="3C69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66825B24">
            <w:pPr>
              <w:spacing w:after="0"/>
              <w:jc w:val="center"/>
              <w:rPr>
                <w:rFonts w:hint="eastAsia" w:ascii="宋体" w:hAnsi="宋体" w:eastAsia="宋体"/>
                <w:sz w:val="21"/>
                <w:lang w:eastAsia="zh-CN"/>
              </w:rPr>
            </w:pPr>
            <w:r>
              <w:rPr>
                <w:rFonts w:hint="eastAsia" w:ascii="宋体" w:hAnsi="宋体" w:eastAsia="宋体"/>
                <w:sz w:val="21"/>
                <w:lang w:eastAsia="zh-CN"/>
              </w:rPr>
              <w:t>9</w:t>
            </w:r>
          </w:p>
        </w:tc>
        <w:tc>
          <w:tcPr>
            <w:tcW w:w="1134" w:type="dxa"/>
            <w:vAlign w:val="center"/>
          </w:tcPr>
          <w:p w14:paraId="1B52B6DC">
            <w:pPr>
              <w:spacing w:after="0"/>
            </w:pPr>
          </w:p>
        </w:tc>
        <w:tc>
          <w:tcPr>
            <w:tcW w:w="1134" w:type="dxa"/>
            <w:vAlign w:val="center"/>
          </w:tcPr>
          <w:p w14:paraId="4B471523">
            <w:pPr>
              <w:spacing w:after="0"/>
            </w:pPr>
          </w:p>
        </w:tc>
        <w:tc>
          <w:tcPr>
            <w:tcW w:w="1701" w:type="dxa"/>
            <w:vAlign w:val="center"/>
          </w:tcPr>
          <w:p w14:paraId="6FBB2ADA">
            <w:pPr>
              <w:spacing w:after="0"/>
            </w:pPr>
          </w:p>
        </w:tc>
        <w:tc>
          <w:tcPr>
            <w:tcW w:w="2835" w:type="dxa"/>
            <w:vAlign w:val="center"/>
          </w:tcPr>
          <w:p w14:paraId="60C1A5CB">
            <w:pPr>
              <w:spacing w:after="0"/>
            </w:pPr>
          </w:p>
        </w:tc>
        <w:tc>
          <w:tcPr>
            <w:tcW w:w="2381" w:type="dxa"/>
            <w:vAlign w:val="center"/>
          </w:tcPr>
          <w:p w14:paraId="42F39219">
            <w:pPr>
              <w:spacing w:after="0"/>
            </w:pPr>
          </w:p>
        </w:tc>
      </w:tr>
      <w:tr w14:paraId="7264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53FB6D15">
            <w:pPr>
              <w:spacing w:after="0"/>
              <w:jc w:val="center"/>
              <w:rPr>
                <w:rFonts w:hint="eastAsia" w:ascii="宋体" w:hAnsi="宋体" w:eastAsia="宋体"/>
                <w:sz w:val="21"/>
                <w:lang w:eastAsia="zh-CN"/>
              </w:rPr>
            </w:pPr>
            <w:r>
              <w:rPr>
                <w:rFonts w:hint="eastAsia" w:ascii="宋体" w:hAnsi="宋体" w:eastAsia="宋体"/>
                <w:sz w:val="21"/>
                <w:lang w:eastAsia="zh-CN"/>
              </w:rPr>
              <w:t>10</w:t>
            </w:r>
          </w:p>
        </w:tc>
        <w:tc>
          <w:tcPr>
            <w:tcW w:w="1134" w:type="dxa"/>
            <w:vAlign w:val="center"/>
          </w:tcPr>
          <w:p w14:paraId="180F09CA">
            <w:pPr>
              <w:spacing w:after="0"/>
            </w:pPr>
          </w:p>
        </w:tc>
        <w:tc>
          <w:tcPr>
            <w:tcW w:w="1134" w:type="dxa"/>
            <w:vAlign w:val="center"/>
          </w:tcPr>
          <w:p w14:paraId="10FBE414">
            <w:pPr>
              <w:spacing w:after="0"/>
            </w:pPr>
          </w:p>
        </w:tc>
        <w:tc>
          <w:tcPr>
            <w:tcW w:w="1701" w:type="dxa"/>
            <w:vAlign w:val="center"/>
          </w:tcPr>
          <w:p w14:paraId="33FFF198">
            <w:pPr>
              <w:spacing w:after="0"/>
            </w:pPr>
          </w:p>
        </w:tc>
        <w:tc>
          <w:tcPr>
            <w:tcW w:w="2835" w:type="dxa"/>
            <w:vAlign w:val="center"/>
          </w:tcPr>
          <w:p w14:paraId="6F507B0D">
            <w:pPr>
              <w:spacing w:after="0"/>
            </w:pPr>
          </w:p>
        </w:tc>
        <w:tc>
          <w:tcPr>
            <w:tcW w:w="2381" w:type="dxa"/>
            <w:vAlign w:val="center"/>
          </w:tcPr>
          <w:p w14:paraId="457FCE8B">
            <w:pPr>
              <w:spacing w:after="0"/>
            </w:pPr>
          </w:p>
        </w:tc>
      </w:tr>
    </w:tbl>
    <w:p w14:paraId="767E742B">
      <w:pPr>
        <w:spacing w:before="120" w:after="60"/>
        <w:rPr>
          <w:rFonts w:hint="eastAsia" w:eastAsia="宋体"/>
          <w:lang w:eastAsia="zh-CN"/>
        </w:rPr>
      </w:pPr>
    </w:p>
    <w:p w14:paraId="08CF1DCC">
      <w:pPr>
        <w:spacing w:before="120" w:after="60"/>
        <w:rPr>
          <w:lang w:eastAsia="zh-CN"/>
        </w:rPr>
      </w:pPr>
      <w:r>
        <w:rPr>
          <w:rFonts w:ascii="黑体" w:hAnsi="黑体" w:eastAsia="黑体"/>
          <w:b/>
          <w:sz w:val="24"/>
          <w:lang w:eastAsia="zh-CN"/>
        </w:rPr>
        <w:t>（三）主要研究者（PI）签字确认</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969"/>
        <w:gridCol w:w="1417"/>
        <w:gridCol w:w="2835"/>
      </w:tblGrid>
      <w:tr w14:paraId="1BED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E2F3"/>
            <w:vAlign w:val="center"/>
          </w:tcPr>
          <w:p w14:paraId="50453FD2">
            <w:pPr>
              <w:spacing w:after="0"/>
              <w:jc w:val="center"/>
            </w:pPr>
            <w:r>
              <w:rPr>
                <w:rFonts w:ascii="宋体" w:hAnsi="宋体" w:eastAsia="宋体"/>
                <w:b/>
                <w:sz w:val="21"/>
              </w:rPr>
              <w:t>PI 姓名</w:t>
            </w:r>
          </w:p>
        </w:tc>
        <w:tc>
          <w:tcPr>
            <w:tcW w:w="3969" w:type="dxa"/>
            <w:shd w:val="clear" w:color="auto" w:fill="D9E2F3"/>
            <w:vAlign w:val="center"/>
          </w:tcPr>
          <w:p w14:paraId="2996A08A">
            <w:pPr>
              <w:spacing w:after="0"/>
              <w:jc w:val="center"/>
            </w:pPr>
            <w:r>
              <w:rPr>
                <w:rFonts w:ascii="宋体" w:hAnsi="宋体" w:eastAsia="宋体"/>
                <w:b/>
                <w:sz w:val="21"/>
              </w:rPr>
              <w:t>签字</w:t>
            </w:r>
          </w:p>
        </w:tc>
        <w:tc>
          <w:tcPr>
            <w:tcW w:w="1417" w:type="dxa"/>
            <w:shd w:val="clear" w:color="auto" w:fill="D9E2F3"/>
            <w:vAlign w:val="center"/>
          </w:tcPr>
          <w:p w14:paraId="7CC98B46">
            <w:pPr>
              <w:spacing w:after="0"/>
              <w:jc w:val="center"/>
            </w:pPr>
            <w:r>
              <w:rPr>
                <w:rFonts w:ascii="宋体" w:hAnsi="宋体" w:eastAsia="宋体"/>
                <w:b/>
                <w:sz w:val="21"/>
              </w:rPr>
              <w:t>工号</w:t>
            </w:r>
          </w:p>
        </w:tc>
        <w:tc>
          <w:tcPr>
            <w:tcW w:w="2835" w:type="dxa"/>
            <w:shd w:val="clear" w:color="auto" w:fill="D9E2F3"/>
            <w:vAlign w:val="center"/>
          </w:tcPr>
          <w:p w14:paraId="1CB14BD5">
            <w:pPr>
              <w:spacing w:after="0"/>
              <w:jc w:val="center"/>
            </w:pPr>
            <w:r>
              <w:rPr>
                <w:rFonts w:ascii="宋体" w:hAnsi="宋体" w:eastAsia="宋体"/>
                <w:b/>
                <w:sz w:val="21"/>
              </w:rPr>
              <w:t>签字日期</w:t>
            </w:r>
          </w:p>
        </w:tc>
      </w:tr>
      <w:tr w14:paraId="3E98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1417" w:type="dxa"/>
            <w:vAlign w:val="center"/>
          </w:tcPr>
          <w:p w14:paraId="648ACD91">
            <w:pPr>
              <w:spacing w:after="0"/>
            </w:pPr>
          </w:p>
        </w:tc>
        <w:tc>
          <w:tcPr>
            <w:tcW w:w="3969" w:type="dxa"/>
            <w:vAlign w:val="center"/>
          </w:tcPr>
          <w:p w14:paraId="73A1E436">
            <w:pPr>
              <w:spacing w:after="0"/>
            </w:pPr>
          </w:p>
        </w:tc>
        <w:tc>
          <w:tcPr>
            <w:tcW w:w="1417" w:type="dxa"/>
            <w:vAlign w:val="center"/>
          </w:tcPr>
          <w:p w14:paraId="3DEA6B78">
            <w:pPr>
              <w:spacing w:after="0"/>
            </w:pPr>
          </w:p>
        </w:tc>
        <w:tc>
          <w:tcPr>
            <w:tcW w:w="2835" w:type="dxa"/>
            <w:vAlign w:val="center"/>
          </w:tcPr>
          <w:p w14:paraId="0AFBFC90">
            <w:pPr>
              <w:spacing w:after="0"/>
            </w:pPr>
          </w:p>
        </w:tc>
      </w:tr>
    </w:tbl>
    <w:p w14:paraId="4DC5D775"/>
    <w:p w14:paraId="05432CD8">
      <w:pPr>
        <w:ind w:firstLine="420"/>
        <w:rPr>
          <w:lang w:eastAsia="zh-CN"/>
        </w:rPr>
      </w:pPr>
      <w:r>
        <w:rPr>
          <w:rFonts w:ascii="宋体" w:hAnsi="宋体" w:eastAsia="宋体"/>
          <w:sz w:val="21"/>
          <w:lang w:eastAsia="zh-CN"/>
        </w:rPr>
        <w:t>本人作为本项目主要研究者（PI），已逐一向本项目所有授权使用免费通道的研究者传达本告知函全部内容，并要求其签字确认。本人知悉并承诺对项目内免费通道使用承担最终管理责任，如出现违规使用，本人愿与相关研究者共同承担相应责任。</w:t>
      </w:r>
    </w:p>
    <w:p w14:paraId="04E356A0">
      <w:pPr>
        <w:spacing w:before="240" w:after="120"/>
        <w:rPr>
          <w:lang w:eastAsia="zh-CN"/>
        </w:rPr>
      </w:pPr>
      <w:r>
        <w:rPr>
          <w:rFonts w:ascii="黑体" w:hAnsi="黑体" w:eastAsia="黑体"/>
          <w:b/>
          <w:sz w:val="28"/>
          <w:lang w:eastAsia="zh-CN"/>
        </w:rPr>
        <w:t>七、机构留存与归档</w:t>
      </w:r>
    </w:p>
    <w:p w14:paraId="24EFD0B9">
      <w:pPr>
        <w:ind w:firstLine="420"/>
        <w:rPr>
          <w:lang w:eastAsia="zh-CN"/>
        </w:rPr>
      </w:pPr>
      <w:r>
        <w:rPr>
          <w:rFonts w:ascii="宋体" w:hAnsi="宋体" w:eastAsia="宋体"/>
          <w:sz w:val="21"/>
          <w:lang w:eastAsia="zh-CN"/>
        </w:rPr>
        <w:t>1. 本告知函一式两份，一份由 PI 留存项目文件夹，一份由机构办公室留存归档。</w:t>
      </w:r>
    </w:p>
    <w:p w14:paraId="432DED0D">
      <w:pPr>
        <w:ind w:firstLine="420"/>
        <w:rPr>
          <w:lang w:eastAsia="zh-CN"/>
        </w:rPr>
      </w:pPr>
      <w:r>
        <w:rPr>
          <w:rFonts w:ascii="宋体" w:hAnsi="宋体" w:eastAsia="宋体"/>
          <w:sz w:val="21"/>
          <w:lang w:eastAsia="zh-CN"/>
        </w:rPr>
        <w:t>2. 本告知函签字版须作为提交免费通道申请的必备附件之一，与</w:t>
      </w:r>
      <w:r>
        <w:rPr>
          <w:rFonts w:hint="eastAsia" w:ascii="宋体" w:hAnsi="宋体" w:eastAsia="宋体"/>
          <w:sz w:val="21"/>
          <w:lang w:eastAsia="zh-CN"/>
        </w:rPr>
        <w:t>企业微信工作台</w:t>
      </w:r>
      <w:r>
        <w:rPr>
          <w:rFonts w:ascii="宋体" w:hAnsi="宋体" w:eastAsia="宋体"/>
          <w:sz w:val="21"/>
          <w:lang w:eastAsia="zh-CN"/>
        </w:rPr>
        <w:t>"申请详情"模板、汇款凭证、已签署合同等材料一并上传。</w:t>
      </w:r>
    </w:p>
    <w:p w14:paraId="11C33F7C">
      <w:pPr>
        <w:ind w:firstLine="420"/>
        <w:rPr>
          <w:lang w:eastAsia="zh-CN"/>
        </w:rPr>
      </w:pPr>
      <w:r>
        <w:rPr>
          <w:rFonts w:ascii="宋体" w:hAnsi="宋体" w:eastAsia="宋体"/>
          <w:sz w:val="21"/>
          <w:lang w:eastAsia="zh-CN"/>
        </w:rPr>
        <w:t>3. 未提交本告知函签字版的免费通道申请，机构办公室将不予受理。</w:t>
      </w:r>
    </w:p>
    <w:p w14:paraId="7B3329E1">
      <w:pPr>
        <w:rPr>
          <w:lang w:eastAsia="zh-CN"/>
        </w:rPr>
      </w:pPr>
    </w:p>
    <w:p w14:paraId="4CBC486E">
      <w:pPr>
        <w:rPr>
          <w:lang w:eastAsia="zh-CN"/>
        </w:rPr>
      </w:pPr>
    </w:p>
    <w:p w14:paraId="3B631403">
      <w:pPr>
        <w:spacing w:before="240"/>
        <w:jc w:val="right"/>
        <w:rPr>
          <w:lang w:eastAsia="zh-CN"/>
        </w:rPr>
      </w:pPr>
      <w:r>
        <w:rPr>
          <w:rFonts w:ascii="宋体" w:hAnsi="宋体" w:eastAsia="宋体"/>
          <w:b/>
          <w:lang w:eastAsia="zh-CN"/>
        </w:rPr>
        <w:t>深圳市第三人民医院  药物</w:t>
      </w:r>
      <w:r>
        <w:rPr>
          <w:rFonts w:hint="eastAsia" w:ascii="宋体" w:hAnsi="宋体" w:eastAsia="宋体"/>
          <w:b/>
          <w:lang w:eastAsia="zh-CN"/>
        </w:rPr>
        <w:t>/医疗器械</w:t>
      </w:r>
      <w:r>
        <w:rPr>
          <w:rFonts w:ascii="宋体" w:hAnsi="宋体" w:eastAsia="宋体"/>
          <w:b/>
          <w:lang w:eastAsia="zh-CN"/>
        </w:rPr>
        <w:t>临床试验机构</w:t>
      </w:r>
    </w:p>
    <w:p w14:paraId="7ACF09BF">
      <w:pPr>
        <w:jc w:val="right"/>
        <w:rPr>
          <w:lang w:eastAsia="zh-CN"/>
        </w:rPr>
      </w:pPr>
      <w:r>
        <w:rPr>
          <w:rFonts w:ascii="宋体" w:hAnsi="宋体" w:eastAsia="宋体"/>
          <w:lang w:eastAsia="zh-CN"/>
        </w:rPr>
        <w:t xml:space="preserve">                年      月      日</w:t>
      </w:r>
    </w:p>
    <w:p w14:paraId="5D547B73">
      <w:pPr>
        <w:spacing w:before="120"/>
        <w:jc w:val="right"/>
        <w:rPr>
          <w:rFonts w:hint="eastAsia" w:ascii="宋体" w:hAnsi="宋体" w:eastAsia="宋体"/>
          <w:sz w:val="18"/>
          <w:lang w:eastAsia="zh-CN"/>
        </w:rPr>
      </w:pPr>
      <w:r>
        <w:rPr>
          <w:rFonts w:ascii="宋体" w:hAnsi="宋体" w:eastAsia="宋体"/>
          <w:sz w:val="18"/>
          <w:lang w:eastAsia="zh-CN"/>
        </w:rPr>
        <w:t>（机构办公室联系</w:t>
      </w:r>
      <w:r>
        <w:rPr>
          <w:rFonts w:hint="eastAsia" w:ascii="宋体" w:hAnsi="宋体" w:eastAsia="宋体"/>
          <w:sz w:val="18"/>
          <w:lang w:eastAsia="zh-CN"/>
        </w:rPr>
        <w:t>分机号</w:t>
      </w:r>
      <w:r>
        <w:rPr>
          <w:rFonts w:ascii="宋体" w:hAnsi="宋体" w:eastAsia="宋体"/>
          <w:sz w:val="18"/>
          <w:lang w:eastAsia="zh-CN"/>
        </w:rPr>
        <w:t>：</w:t>
      </w:r>
      <w:r>
        <w:rPr>
          <w:rFonts w:hint="eastAsia" w:ascii="宋体" w:hAnsi="宋体" w:eastAsia="宋体"/>
          <w:sz w:val="18"/>
          <w:u w:val="single"/>
          <w:lang w:eastAsia="zh-CN"/>
        </w:rPr>
        <w:t>20633</w:t>
      </w:r>
      <w:r>
        <w:rPr>
          <w:rFonts w:hint="eastAsia" w:ascii="宋体" w:hAnsi="宋体" w:eastAsia="宋体"/>
          <w:sz w:val="18"/>
          <w:lang w:eastAsia="zh-CN"/>
        </w:rPr>
        <w:t>）</w:t>
      </w:r>
    </w:p>
    <w:p w14:paraId="3E13DBFD">
      <w:pPr>
        <w:spacing w:before="120"/>
        <w:jc w:val="center"/>
        <w:rPr>
          <w:rFonts w:eastAsia="宋体"/>
          <w:lang w:eastAsia="zh-CN"/>
        </w:rPr>
      </w:pPr>
      <w:r>
        <w:rPr>
          <w:rFonts w:hint="eastAsia" w:ascii="黑体" w:hAnsi="黑体" w:eastAsia="黑体"/>
          <w:b/>
          <w:sz w:val="24"/>
          <w:lang w:eastAsia="zh-CN"/>
        </w:rPr>
        <w:t>附：</w:t>
      </w:r>
      <w:r>
        <w:rPr>
          <w:rFonts w:ascii="黑体" w:hAnsi="黑体" w:eastAsia="黑体"/>
          <w:b/>
          <w:sz w:val="24"/>
          <w:lang w:eastAsia="zh-CN"/>
        </w:rPr>
        <w:t>授权免费通道的研究者签字</w:t>
      </w:r>
      <w:r>
        <w:rPr>
          <w:rFonts w:hint="eastAsia" w:ascii="黑体" w:hAnsi="黑体" w:eastAsia="黑体"/>
          <w:b/>
          <w:sz w:val="24"/>
          <w:lang w:eastAsia="zh-CN"/>
        </w:rPr>
        <w:t>补充页</w:t>
      </w:r>
    </w:p>
    <w:tbl>
      <w:tblPr>
        <w:tblStyle w:val="35"/>
        <w:tblW w:w="9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34"/>
        <w:gridCol w:w="1134"/>
        <w:gridCol w:w="1701"/>
        <w:gridCol w:w="2835"/>
        <w:gridCol w:w="2381"/>
      </w:tblGrid>
      <w:tr w14:paraId="780A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D9E2F3"/>
            <w:vAlign w:val="center"/>
          </w:tcPr>
          <w:p w14:paraId="5C14D27F">
            <w:pPr>
              <w:spacing w:after="0"/>
              <w:jc w:val="center"/>
            </w:pPr>
            <w:r>
              <w:rPr>
                <w:rFonts w:ascii="宋体" w:hAnsi="宋体" w:eastAsia="宋体"/>
                <w:b/>
                <w:sz w:val="21"/>
              </w:rPr>
              <w:t>序号</w:t>
            </w:r>
          </w:p>
        </w:tc>
        <w:tc>
          <w:tcPr>
            <w:tcW w:w="1134" w:type="dxa"/>
            <w:shd w:val="clear" w:color="auto" w:fill="D9E2F3"/>
            <w:vAlign w:val="center"/>
          </w:tcPr>
          <w:p w14:paraId="3912F205">
            <w:pPr>
              <w:spacing w:after="0"/>
              <w:jc w:val="center"/>
            </w:pPr>
            <w:r>
              <w:rPr>
                <w:rFonts w:ascii="宋体" w:hAnsi="宋体" w:eastAsia="宋体"/>
                <w:b/>
                <w:sz w:val="21"/>
              </w:rPr>
              <w:t>姓名</w:t>
            </w:r>
          </w:p>
        </w:tc>
        <w:tc>
          <w:tcPr>
            <w:tcW w:w="1134" w:type="dxa"/>
            <w:shd w:val="clear" w:color="auto" w:fill="D9E2F3"/>
            <w:vAlign w:val="center"/>
          </w:tcPr>
          <w:p w14:paraId="761C7539">
            <w:pPr>
              <w:spacing w:after="0"/>
              <w:jc w:val="center"/>
            </w:pPr>
            <w:r>
              <w:rPr>
                <w:rFonts w:ascii="宋体" w:hAnsi="宋体" w:eastAsia="宋体"/>
                <w:b/>
                <w:sz w:val="21"/>
              </w:rPr>
              <w:t>工号</w:t>
            </w:r>
          </w:p>
        </w:tc>
        <w:tc>
          <w:tcPr>
            <w:tcW w:w="1701" w:type="dxa"/>
            <w:shd w:val="clear" w:color="auto" w:fill="D9E2F3"/>
            <w:vAlign w:val="center"/>
          </w:tcPr>
          <w:p w14:paraId="7F56AB35">
            <w:pPr>
              <w:spacing w:after="0"/>
              <w:jc w:val="center"/>
            </w:pPr>
            <w:r>
              <w:rPr>
                <w:rFonts w:ascii="宋体" w:hAnsi="宋体" w:eastAsia="宋体"/>
                <w:b/>
                <w:sz w:val="21"/>
              </w:rPr>
              <w:t>职称/职务</w:t>
            </w:r>
          </w:p>
        </w:tc>
        <w:tc>
          <w:tcPr>
            <w:tcW w:w="2835" w:type="dxa"/>
            <w:shd w:val="clear" w:color="auto" w:fill="D9E2F3"/>
            <w:vAlign w:val="center"/>
          </w:tcPr>
          <w:p w14:paraId="72CBD812">
            <w:pPr>
              <w:spacing w:after="0"/>
              <w:jc w:val="center"/>
            </w:pPr>
            <w:r>
              <w:rPr>
                <w:rFonts w:ascii="宋体" w:hAnsi="宋体" w:eastAsia="宋体"/>
                <w:b/>
                <w:sz w:val="21"/>
              </w:rPr>
              <w:t>签字</w:t>
            </w:r>
          </w:p>
        </w:tc>
        <w:tc>
          <w:tcPr>
            <w:tcW w:w="2381" w:type="dxa"/>
            <w:shd w:val="clear" w:color="auto" w:fill="D9E2F3"/>
            <w:vAlign w:val="center"/>
          </w:tcPr>
          <w:p w14:paraId="2E1D0D8D">
            <w:pPr>
              <w:spacing w:after="0"/>
              <w:jc w:val="center"/>
            </w:pPr>
            <w:r>
              <w:rPr>
                <w:rFonts w:ascii="宋体" w:hAnsi="宋体" w:eastAsia="宋体"/>
                <w:b/>
                <w:sz w:val="21"/>
              </w:rPr>
              <w:t>日期</w:t>
            </w:r>
          </w:p>
        </w:tc>
      </w:tr>
      <w:tr w14:paraId="2019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41527A07">
            <w:pPr>
              <w:spacing w:after="0"/>
              <w:jc w:val="center"/>
            </w:pPr>
            <w:r>
              <w:rPr>
                <w:rFonts w:ascii="宋体" w:hAnsi="宋体" w:eastAsia="宋体"/>
                <w:sz w:val="21"/>
              </w:rPr>
              <w:t>1</w:t>
            </w:r>
          </w:p>
        </w:tc>
        <w:tc>
          <w:tcPr>
            <w:tcW w:w="1134" w:type="dxa"/>
            <w:vAlign w:val="center"/>
          </w:tcPr>
          <w:p w14:paraId="2B6649FB">
            <w:pPr>
              <w:spacing w:after="0"/>
            </w:pPr>
          </w:p>
        </w:tc>
        <w:tc>
          <w:tcPr>
            <w:tcW w:w="1134" w:type="dxa"/>
            <w:vAlign w:val="center"/>
          </w:tcPr>
          <w:p w14:paraId="7BFA93D6">
            <w:pPr>
              <w:spacing w:after="0"/>
            </w:pPr>
          </w:p>
        </w:tc>
        <w:tc>
          <w:tcPr>
            <w:tcW w:w="1701" w:type="dxa"/>
            <w:vAlign w:val="center"/>
          </w:tcPr>
          <w:p w14:paraId="00990979">
            <w:pPr>
              <w:spacing w:after="0"/>
            </w:pPr>
          </w:p>
        </w:tc>
        <w:tc>
          <w:tcPr>
            <w:tcW w:w="2835" w:type="dxa"/>
            <w:vAlign w:val="center"/>
          </w:tcPr>
          <w:p w14:paraId="289C95F8">
            <w:pPr>
              <w:spacing w:after="0"/>
            </w:pPr>
          </w:p>
        </w:tc>
        <w:tc>
          <w:tcPr>
            <w:tcW w:w="2381" w:type="dxa"/>
            <w:vAlign w:val="center"/>
          </w:tcPr>
          <w:p w14:paraId="29A82A73">
            <w:pPr>
              <w:spacing w:after="0"/>
            </w:pPr>
          </w:p>
        </w:tc>
      </w:tr>
      <w:tr w14:paraId="00D5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11245C29">
            <w:pPr>
              <w:spacing w:after="0"/>
              <w:jc w:val="center"/>
            </w:pPr>
            <w:r>
              <w:rPr>
                <w:rFonts w:ascii="宋体" w:hAnsi="宋体" w:eastAsia="宋体"/>
                <w:sz w:val="21"/>
              </w:rPr>
              <w:t>2</w:t>
            </w:r>
          </w:p>
        </w:tc>
        <w:tc>
          <w:tcPr>
            <w:tcW w:w="1134" w:type="dxa"/>
            <w:vAlign w:val="center"/>
          </w:tcPr>
          <w:p w14:paraId="6484248E">
            <w:pPr>
              <w:spacing w:after="0"/>
            </w:pPr>
          </w:p>
        </w:tc>
        <w:tc>
          <w:tcPr>
            <w:tcW w:w="1134" w:type="dxa"/>
            <w:vAlign w:val="center"/>
          </w:tcPr>
          <w:p w14:paraId="5E791308">
            <w:pPr>
              <w:spacing w:after="0"/>
            </w:pPr>
          </w:p>
        </w:tc>
        <w:tc>
          <w:tcPr>
            <w:tcW w:w="1701" w:type="dxa"/>
            <w:vAlign w:val="center"/>
          </w:tcPr>
          <w:p w14:paraId="60980266">
            <w:pPr>
              <w:spacing w:after="0"/>
            </w:pPr>
          </w:p>
        </w:tc>
        <w:tc>
          <w:tcPr>
            <w:tcW w:w="2835" w:type="dxa"/>
            <w:vAlign w:val="center"/>
          </w:tcPr>
          <w:p w14:paraId="76C83EC1">
            <w:pPr>
              <w:spacing w:after="0"/>
            </w:pPr>
          </w:p>
        </w:tc>
        <w:tc>
          <w:tcPr>
            <w:tcW w:w="2381" w:type="dxa"/>
            <w:vAlign w:val="center"/>
          </w:tcPr>
          <w:p w14:paraId="21F9E4CA">
            <w:pPr>
              <w:spacing w:after="0"/>
            </w:pPr>
          </w:p>
        </w:tc>
      </w:tr>
      <w:tr w14:paraId="68BF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638785CD">
            <w:pPr>
              <w:spacing w:after="0"/>
              <w:jc w:val="center"/>
            </w:pPr>
            <w:r>
              <w:rPr>
                <w:rFonts w:ascii="宋体" w:hAnsi="宋体" w:eastAsia="宋体"/>
                <w:sz w:val="21"/>
              </w:rPr>
              <w:t>3</w:t>
            </w:r>
          </w:p>
        </w:tc>
        <w:tc>
          <w:tcPr>
            <w:tcW w:w="1134" w:type="dxa"/>
            <w:vAlign w:val="center"/>
          </w:tcPr>
          <w:p w14:paraId="21C64148">
            <w:pPr>
              <w:spacing w:after="0"/>
            </w:pPr>
          </w:p>
        </w:tc>
        <w:tc>
          <w:tcPr>
            <w:tcW w:w="1134" w:type="dxa"/>
            <w:vAlign w:val="center"/>
          </w:tcPr>
          <w:p w14:paraId="5AB86B58">
            <w:pPr>
              <w:spacing w:after="0"/>
            </w:pPr>
          </w:p>
        </w:tc>
        <w:tc>
          <w:tcPr>
            <w:tcW w:w="1701" w:type="dxa"/>
            <w:vAlign w:val="center"/>
          </w:tcPr>
          <w:p w14:paraId="7A9D93C5">
            <w:pPr>
              <w:spacing w:after="0"/>
            </w:pPr>
          </w:p>
        </w:tc>
        <w:tc>
          <w:tcPr>
            <w:tcW w:w="2835" w:type="dxa"/>
            <w:vAlign w:val="center"/>
          </w:tcPr>
          <w:p w14:paraId="3353421E">
            <w:pPr>
              <w:spacing w:after="0"/>
            </w:pPr>
          </w:p>
        </w:tc>
        <w:tc>
          <w:tcPr>
            <w:tcW w:w="2381" w:type="dxa"/>
            <w:vAlign w:val="center"/>
          </w:tcPr>
          <w:p w14:paraId="1499A564">
            <w:pPr>
              <w:spacing w:after="0"/>
            </w:pPr>
          </w:p>
        </w:tc>
      </w:tr>
      <w:tr w14:paraId="1177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62BAB641">
            <w:pPr>
              <w:spacing w:after="0"/>
              <w:jc w:val="center"/>
            </w:pPr>
            <w:r>
              <w:rPr>
                <w:rFonts w:ascii="宋体" w:hAnsi="宋体" w:eastAsia="宋体"/>
                <w:sz w:val="21"/>
              </w:rPr>
              <w:t>4</w:t>
            </w:r>
          </w:p>
        </w:tc>
        <w:tc>
          <w:tcPr>
            <w:tcW w:w="1134" w:type="dxa"/>
            <w:vAlign w:val="center"/>
          </w:tcPr>
          <w:p w14:paraId="386A9C9B">
            <w:pPr>
              <w:spacing w:after="0"/>
            </w:pPr>
          </w:p>
        </w:tc>
        <w:tc>
          <w:tcPr>
            <w:tcW w:w="1134" w:type="dxa"/>
            <w:vAlign w:val="center"/>
          </w:tcPr>
          <w:p w14:paraId="000D20AF">
            <w:pPr>
              <w:spacing w:after="0"/>
            </w:pPr>
          </w:p>
        </w:tc>
        <w:tc>
          <w:tcPr>
            <w:tcW w:w="1701" w:type="dxa"/>
            <w:vAlign w:val="center"/>
          </w:tcPr>
          <w:p w14:paraId="7F8BB762">
            <w:pPr>
              <w:spacing w:after="0"/>
            </w:pPr>
          </w:p>
        </w:tc>
        <w:tc>
          <w:tcPr>
            <w:tcW w:w="2835" w:type="dxa"/>
            <w:vAlign w:val="center"/>
          </w:tcPr>
          <w:p w14:paraId="4E750815">
            <w:pPr>
              <w:spacing w:after="0"/>
            </w:pPr>
          </w:p>
        </w:tc>
        <w:tc>
          <w:tcPr>
            <w:tcW w:w="2381" w:type="dxa"/>
            <w:vAlign w:val="center"/>
          </w:tcPr>
          <w:p w14:paraId="1D047D6F">
            <w:pPr>
              <w:spacing w:after="0"/>
            </w:pPr>
          </w:p>
        </w:tc>
      </w:tr>
      <w:tr w14:paraId="4B3A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72C0FDB7">
            <w:pPr>
              <w:spacing w:after="0"/>
              <w:jc w:val="center"/>
            </w:pPr>
            <w:r>
              <w:rPr>
                <w:rFonts w:ascii="宋体" w:hAnsi="宋体" w:eastAsia="宋体"/>
                <w:sz w:val="21"/>
              </w:rPr>
              <w:t>5</w:t>
            </w:r>
          </w:p>
        </w:tc>
        <w:tc>
          <w:tcPr>
            <w:tcW w:w="1134" w:type="dxa"/>
            <w:vAlign w:val="center"/>
          </w:tcPr>
          <w:p w14:paraId="564A21A0">
            <w:pPr>
              <w:spacing w:after="0"/>
            </w:pPr>
          </w:p>
        </w:tc>
        <w:tc>
          <w:tcPr>
            <w:tcW w:w="1134" w:type="dxa"/>
            <w:vAlign w:val="center"/>
          </w:tcPr>
          <w:p w14:paraId="2E886466">
            <w:pPr>
              <w:spacing w:after="0"/>
            </w:pPr>
          </w:p>
        </w:tc>
        <w:tc>
          <w:tcPr>
            <w:tcW w:w="1701" w:type="dxa"/>
            <w:vAlign w:val="center"/>
          </w:tcPr>
          <w:p w14:paraId="617448A3">
            <w:pPr>
              <w:spacing w:after="0"/>
            </w:pPr>
          </w:p>
        </w:tc>
        <w:tc>
          <w:tcPr>
            <w:tcW w:w="2835" w:type="dxa"/>
            <w:vAlign w:val="center"/>
          </w:tcPr>
          <w:p w14:paraId="71365FE2">
            <w:pPr>
              <w:spacing w:after="0"/>
            </w:pPr>
          </w:p>
        </w:tc>
        <w:tc>
          <w:tcPr>
            <w:tcW w:w="2381" w:type="dxa"/>
            <w:vAlign w:val="center"/>
          </w:tcPr>
          <w:p w14:paraId="09BC464C">
            <w:pPr>
              <w:spacing w:after="0"/>
            </w:pPr>
          </w:p>
        </w:tc>
      </w:tr>
      <w:tr w14:paraId="0D65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565358BB">
            <w:pPr>
              <w:spacing w:after="0"/>
              <w:jc w:val="center"/>
              <w:rPr>
                <w:rFonts w:ascii="宋体" w:hAnsi="宋体" w:eastAsia="宋体"/>
                <w:sz w:val="21"/>
              </w:rPr>
            </w:pPr>
            <w:r>
              <w:rPr>
                <w:rFonts w:hint="eastAsia" w:ascii="宋体" w:hAnsi="宋体" w:eastAsia="宋体"/>
                <w:sz w:val="21"/>
                <w:lang w:eastAsia="zh-CN"/>
              </w:rPr>
              <w:t>6</w:t>
            </w:r>
          </w:p>
        </w:tc>
        <w:tc>
          <w:tcPr>
            <w:tcW w:w="1134" w:type="dxa"/>
            <w:vAlign w:val="center"/>
          </w:tcPr>
          <w:p w14:paraId="125FBF3E">
            <w:pPr>
              <w:spacing w:after="0"/>
            </w:pPr>
          </w:p>
        </w:tc>
        <w:tc>
          <w:tcPr>
            <w:tcW w:w="1134" w:type="dxa"/>
            <w:vAlign w:val="center"/>
          </w:tcPr>
          <w:p w14:paraId="4FF3242C">
            <w:pPr>
              <w:spacing w:after="0"/>
            </w:pPr>
          </w:p>
        </w:tc>
        <w:tc>
          <w:tcPr>
            <w:tcW w:w="1701" w:type="dxa"/>
            <w:vAlign w:val="center"/>
          </w:tcPr>
          <w:p w14:paraId="420F0068">
            <w:pPr>
              <w:spacing w:after="0"/>
            </w:pPr>
          </w:p>
        </w:tc>
        <w:tc>
          <w:tcPr>
            <w:tcW w:w="2835" w:type="dxa"/>
            <w:vAlign w:val="center"/>
          </w:tcPr>
          <w:p w14:paraId="67DC1B7B">
            <w:pPr>
              <w:spacing w:after="0"/>
            </w:pPr>
          </w:p>
        </w:tc>
        <w:tc>
          <w:tcPr>
            <w:tcW w:w="2381" w:type="dxa"/>
            <w:vAlign w:val="center"/>
          </w:tcPr>
          <w:p w14:paraId="598B2D90">
            <w:pPr>
              <w:spacing w:after="0"/>
            </w:pPr>
          </w:p>
        </w:tc>
      </w:tr>
      <w:tr w14:paraId="4E35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25D5CF13">
            <w:pPr>
              <w:spacing w:after="0"/>
              <w:jc w:val="center"/>
              <w:rPr>
                <w:rFonts w:ascii="宋体" w:hAnsi="宋体" w:eastAsia="宋体"/>
                <w:sz w:val="21"/>
              </w:rPr>
            </w:pPr>
            <w:r>
              <w:rPr>
                <w:rFonts w:hint="eastAsia" w:ascii="宋体" w:hAnsi="宋体" w:eastAsia="宋体"/>
                <w:sz w:val="21"/>
                <w:lang w:eastAsia="zh-CN"/>
              </w:rPr>
              <w:t>7</w:t>
            </w:r>
          </w:p>
        </w:tc>
        <w:tc>
          <w:tcPr>
            <w:tcW w:w="1134" w:type="dxa"/>
            <w:vAlign w:val="center"/>
          </w:tcPr>
          <w:p w14:paraId="5ACAEF1C">
            <w:pPr>
              <w:spacing w:after="0"/>
            </w:pPr>
          </w:p>
        </w:tc>
        <w:tc>
          <w:tcPr>
            <w:tcW w:w="1134" w:type="dxa"/>
            <w:vAlign w:val="center"/>
          </w:tcPr>
          <w:p w14:paraId="2CBD4A88">
            <w:pPr>
              <w:spacing w:after="0"/>
            </w:pPr>
          </w:p>
        </w:tc>
        <w:tc>
          <w:tcPr>
            <w:tcW w:w="1701" w:type="dxa"/>
            <w:vAlign w:val="center"/>
          </w:tcPr>
          <w:p w14:paraId="07AE29A7">
            <w:pPr>
              <w:spacing w:after="0"/>
            </w:pPr>
          </w:p>
        </w:tc>
        <w:tc>
          <w:tcPr>
            <w:tcW w:w="2835" w:type="dxa"/>
            <w:vAlign w:val="center"/>
          </w:tcPr>
          <w:p w14:paraId="0B0E0043">
            <w:pPr>
              <w:spacing w:after="0"/>
            </w:pPr>
          </w:p>
        </w:tc>
        <w:tc>
          <w:tcPr>
            <w:tcW w:w="2381" w:type="dxa"/>
            <w:vAlign w:val="center"/>
          </w:tcPr>
          <w:p w14:paraId="6E674E9D">
            <w:pPr>
              <w:spacing w:after="0"/>
            </w:pPr>
          </w:p>
        </w:tc>
      </w:tr>
      <w:tr w14:paraId="2C02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3E1B06CB">
            <w:pPr>
              <w:spacing w:after="0"/>
              <w:jc w:val="center"/>
              <w:rPr>
                <w:rFonts w:ascii="宋体" w:hAnsi="宋体" w:eastAsia="宋体"/>
                <w:sz w:val="21"/>
              </w:rPr>
            </w:pPr>
            <w:r>
              <w:rPr>
                <w:rFonts w:hint="eastAsia" w:ascii="宋体" w:hAnsi="宋体" w:eastAsia="宋体"/>
                <w:sz w:val="21"/>
                <w:lang w:eastAsia="zh-CN"/>
              </w:rPr>
              <w:t>8</w:t>
            </w:r>
          </w:p>
        </w:tc>
        <w:tc>
          <w:tcPr>
            <w:tcW w:w="1134" w:type="dxa"/>
            <w:vAlign w:val="center"/>
          </w:tcPr>
          <w:p w14:paraId="277E8C81">
            <w:pPr>
              <w:spacing w:after="0"/>
            </w:pPr>
          </w:p>
        </w:tc>
        <w:tc>
          <w:tcPr>
            <w:tcW w:w="1134" w:type="dxa"/>
            <w:vAlign w:val="center"/>
          </w:tcPr>
          <w:p w14:paraId="34D20527">
            <w:pPr>
              <w:spacing w:after="0"/>
            </w:pPr>
          </w:p>
        </w:tc>
        <w:tc>
          <w:tcPr>
            <w:tcW w:w="1701" w:type="dxa"/>
            <w:vAlign w:val="center"/>
          </w:tcPr>
          <w:p w14:paraId="5627575C">
            <w:pPr>
              <w:spacing w:after="0"/>
            </w:pPr>
          </w:p>
        </w:tc>
        <w:tc>
          <w:tcPr>
            <w:tcW w:w="2835" w:type="dxa"/>
            <w:vAlign w:val="center"/>
          </w:tcPr>
          <w:p w14:paraId="4B952B91">
            <w:pPr>
              <w:spacing w:after="0"/>
            </w:pPr>
          </w:p>
        </w:tc>
        <w:tc>
          <w:tcPr>
            <w:tcW w:w="2381" w:type="dxa"/>
            <w:vAlign w:val="center"/>
          </w:tcPr>
          <w:p w14:paraId="188DA2C6">
            <w:pPr>
              <w:spacing w:after="0"/>
            </w:pPr>
          </w:p>
        </w:tc>
      </w:tr>
      <w:tr w14:paraId="75E0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trPr>
        <w:tc>
          <w:tcPr>
            <w:tcW w:w="680" w:type="dxa"/>
            <w:vAlign w:val="center"/>
          </w:tcPr>
          <w:p w14:paraId="10C1ADAF">
            <w:pPr>
              <w:spacing w:after="0"/>
              <w:jc w:val="center"/>
              <w:rPr>
                <w:rFonts w:hint="eastAsia" w:ascii="宋体" w:hAnsi="宋体" w:eastAsia="宋体"/>
                <w:sz w:val="21"/>
                <w:lang w:eastAsia="zh-CN"/>
              </w:rPr>
            </w:pPr>
            <w:r>
              <w:rPr>
                <w:rFonts w:hint="eastAsia" w:ascii="宋体" w:hAnsi="宋体" w:eastAsia="宋体"/>
                <w:sz w:val="21"/>
                <w:lang w:eastAsia="zh-CN"/>
              </w:rPr>
              <w:t>9</w:t>
            </w:r>
          </w:p>
          <w:p w14:paraId="373695BC">
            <w:pPr>
              <w:spacing w:after="0"/>
              <w:rPr>
                <w:rFonts w:hint="eastAsia" w:ascii="宋体" w:hAnsi="宋体" w:eastAsia="宋体"/>
                <w:sz w:val="21"/>
                <w:lang w:eastAsia="zh-CN"/>
              </w:rPr>
            </w:pPr>
          </w:p>
        </w:tc>
        <w:tc>
          <w:tcPr>
            <w:tcW w:w="1134" w:type="dxa"/>
            <w:vAlign w:val="center"/>
          </w:tcPr>
          <w:p w14:paraId="3A5B171F">
            <w:pPr>
              <w:spacing w:after="0"/>
            </w:pPr>
          </w:p>
        </w:tc>
        <w:tc>
          <w:tcPr>
            <w:tcW w:w="1134" w:type="dxa"/>
            <w:vAlign w:val="center"/>
          </w:tcPr>
          <w:p w14:paraId="3997827F">
            <w:pPr>
              <w:spacing w:after="0"/>
            </w:pPr>
          </w:p>
        </w:tc>
        <w:tc>
          <w:tcPr>
            <w:tcW w:w="1701" w:type="dxa"/>
            <w:vAlign w:val="center"/>
          </w:tcPr>
          <w:p w14:paraId="709462F1">
            <w:pPr>
              <w:spacing w:after="0"/>
            </w:pPr>
          </w:p>
        </w:tc>
        <w:tc>
          <w:tcPr>
            <w:tcW w:w="2835" w:type="dxa"/>
            <w:vAlign w:val="center"/>
          </w:tcPr>
          <w:p w14:paraId="4732FCD3">
            <w:pPr>
              <w:spacing w:after="0"/>
            </w:pPr>
          </w:p>
        </w:tc>
        <w:tc>
          <w:tcPr>
            <w:tcW w:w="2381" w:type="dxa"/>
            <w:vAlign w:val="center"/>
          </w:tcPr>
          <w:p w14:paraId="199AA8F1">
            <w:pPr>
              <w:spacing w:after="0"/>
            </w:pPr>
          </w:p>
        </w:tc>
      </w:tr>
      <w:tr w14:paraId="5A8D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2B52B91A">
            <w:pPr>
              <w:spacing w:after="0"/>
              <w:jc w:val="center"/>
              <w:rPr>
                <w:rFonts w:hint="eastAsia" w:ascii="宋体" w:hAnsi="宋体" w:eastAsia="宋体"/>
                <w:sz w:val="21"/>
                <w:lang w:eastAsia="zh-CN"/>
              </w:rPr>
            </w:pPr>
            <w:r>
              <w:rPr>
                <w:rFonts w:hint="eastAsia" w:ascii="宋体" w:hAnsi="宋体" w:eastAsia="宋体"/>
                <w:sz w:val="21"/>
                <w:lang w:eastAsia="zh-CN"/>
              </w:rPr>
              <w:t>10</w:t>
            </w:r>
          </w:p>
        </w:tc>
        <w:tc>
          <w:tcPr>
            <w:tcW w:w="1134" w:type="dxa"/>
            <w:vAlign w:val="center"/>
          </w:tcPr>
          <w:p w14:paraId="5849B484">
            <w:pPr>
              <w:spacing w:after="0"/>
            </w:pPr>
          </w:p>
        </w:tc>
        <w:tc>
          <w:tcPr>
            <w:tcW w:w="1134" w:type="dxa"/>
            <w:vAlign w:val="center"/>
          </w:tcPr>
          <w:p w14:paraId="229FFB0E">
            <w:pPr>
              <w:spacing w:after="0"/>
            </w:pPr>
          </w:p>
        </w:tc>
        <w:tc>
          <w:tcPr>
            <w:tcW w:w="1701" w:type="dxa"/>
            <w:vAlign w:val="center"/>
          </w:tcPr>
          <w:p w14:paraId="6FF048D6">
            <w:pPr>
              <w:spacing w:after="0"/>
            </w:pPr>
          </w:p>
        </w:tc>
        <w:tc>
          <w:tcPr>
            <w:tcW w:w="2835" w:type="dxa"/>
            <w:vAlign w:val="center"/>
          </w:tcPr>
          <w:p w14:paraId="00DD61F5">
            <w:pPr>
              <w:spacing w:after="0"/>
            </w:pPr>
          </w:p>
        </w:tc>
        <w:tc>
          <w:tcPr>
            <w:tcW w:w="2381" w:type="dxa"/>
            <w:vAlign w:val="center"/>
          </w:tcPr>
          <w:p w14:paraId="4FF356D5">
            <w:pPr>
              <w:spacing w:after="0"/>
            </w:pPr>
          </w:p>
        </w:tc>
      </w:tr>
      <w:tr w14:paraId="28F5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57367097">
            <w:pPr>
              <w:spacing w:after="0"/>
              <w:jc w:val="center"/>
              <w:rPr>
                <w:rFonts w:hint="eastAsia" w:ascii="宋体" w:hAnsi="宋体" w:eastAsia="宋体"/>
                <w:sz w:val="21"/>
                <w:lang w:eastAsia="zh-CN"/>
              </w:rPr>
            </w:pPr>
            <w:r>
              <w:rPr>
                <w:rFonts w:hint="eastAsia" w:ascii="宋体" w:hAnsi="宋体" w:eastAsia="宋体"/>
                <w:sz w:val="21"/>
                <w:lang w:eastAsia="zh-CN"/>
              </w:rPr>
              <w:t>11</w:t>
            </w:r>
          </w:p>
        </w:tc>
        <w:tc>
          <w:tcPr>
            <w:tcW w:w="1134" w:type="dxa"/>
            <w:vAlign w:val="center"/>
          </w:tcPr>
          <w:p w14:paraId="33143D94">
            <w:pPr>
              <w:spacing w:after="0"/>
            </w:pPr>
          </w:p>
        </w:tc>
        <w:tc>
          <w:tcPr>
            <w:tcW w:w="1134" w:type="dxa"/>
            <w:vAlign w:val="center"/>
          </w:tcPr>
          <w:p w14:paraId="58A4981C">
            <w:pPr>
              <w:spacing w:after="0"/>
            </w:pPr>
          </w:p>
        </w:tc>
        <w:tc>
          <w:tcPr>
            <w:tcW w:w="1701" w:type="dxa"/>
            <w:vAlign w:val="center"/>
          </w:tcPr>
          <w:p w14:paraId="14E13EE0">
            <w:pPr>
              <w:spacing w:after="0"/>
            </w:pPr>
          </w:p>
        </w:tc>
        <w:tc>
          <w:tcPr>
            <w:tcW w:w="2835" w:type="dxa"/>
            <w:vAlign w:val="center"/>
          </w:tcPr>
          <w:p w14:paraId="4700A7BA">
            <w:pPr>
              <w:spacing w:after="0"/>
            </w:pPr>
          </w:p>
        </w:tc>
        <w:tc>
          <w:tcPr>
            <w:tcW w:w="2381" w:type="dxa"/>
            <w:vAlign w:val="center"/>
          </w:tcPr>
          <w:p w14:paraId="166A3D38">
            <w:pPr>
              <w:spacing w:after="0"/>
            </w:pPr>
          </w:p>
        </w:tc>
      </w:tr>
      <w:tr w14:paraId="5546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2C0CC98F">
            <w:pPr>
              <w:spacing w:after="0"/>
              <w:jc w:val="center"/>
              <w:rPr>
                <w:rFonts w:hint="eastAsia" w:ascii="宋体" w:hAnsi="宋体" w:eastAsia="宋体"/>
                <w:sz w:val="21"/>
                <w:lang w:eastAsia="zh-CN"/>
              </w:rPr>
            </w:pPr>
            <w:r>
              <w:rPr>
                <w:rFonts w:hint="eastAsia" w:ascii="宋体" w:hAnsi="宋体" w:eastAsia="宋体"/>
                <w:sz w:val="21"/>
                <w:lang w:eastAsia="zh-CN"/>
              </w:rPr>
              <w:t>12</w:t>
            </w:r>
          </w:p>
        </w:tc>
        <w:tc>
          <w:tcPr>
            <w:tcW w:w="1134" w:type="dxa"/>
            <w:vAlign w:val="center"/>
          </w:tcPr>
          <w:p w14:paraId="1AF837C7">
            <w:pPr>
              <w:spacing w:after="0"/>
            </w:pPr>
          </w:p>
        </w:tc>
        <w:tc>
          <w:tcPr>
            <w:tcW w:w="1134" w:type="dxa"/>
            <w:vAlign w:val="center"/>
          </w:tcPr>
          <w:p w14:paraId="2FC978F3">
            <w:pPr>
              <w:spacing w:after="0"/>
            </w:pPr>
          </w:p>
        </w:tc>
        <w:tc>
          <w:tcPr>
            <w:tcW w:w="1701" w:type="dxa"/>
            <w:vAlign w:val="center"/>
          </w:tcPr>
          <w:p w14:paraId="70E88BA0">
            <w:pPr>
              <w:spacing w:after="0"/>
            </w:pPr>
          </w:p>
        </w:tc>
        <w:tc>
          <w:tcPr>
            <w:tcW w:w="2835" w:type="dxa"/>
            <w:vAlign w:val="center"/>
          </w:tcPr>
          <w:p w14:paraId="2B6DFAB5">
            <w:pPr>
              <w:spacing w:after="0"/>
            </w:pPr>
          </w:p>
        </w:tc>
        <w:tc>
          <w:tcPr>
            <w:tcW w:w="2381" w:type="dxa"/>
            <w:vAlign w:val="center"/>
          </w:tcPr>
          <w:p w14:paraId="263F4851">
            <w:pPr>
              <w:spacing w:after="0"/>
            </w:pPr>
          </w:p>
        </w:tc>
      </w:tr>
      <w:tr w14:paraId="30BA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70649539">
            <w:pPr>
              <w:spacing w:after="0"/>
              <w:jc w:val="center"/>
              <w:rPr>
                <w:rFonts w:hint="eastAsia" w:ascii="宋体" w:hAnsi="宋体" w:eastAsia="宋体"/>
                <w:sz w:val="21"/>
                <w:lang w:eastAsia="zh-CN"/>
              </w:rPr>
            </w:pPr>
            <w:r>
              <w:rPr>
                <w:rFonts w:hint="eastAsia" w:ascii="宋体" w:hAnsi="宋体" w:eastAsia="宋体"/>
                <w:sz w:val="21"/>
                <w:lang w:eastAsia="zh-CN"/>
              </w:rPr>
              <w:t>13</w:t>
            </w:r>
          </w:p>
        </w:tc>
        <w:tc>
          <w:tcPr>
            <w:tcW w:w="1134" w:type="dxa"/>
            <w:vAlign w:val="center"/>
          </w:tcPr>
          <w:p w14:paraId="5A59B8D0">
            <w:pPr>
              <w:spacing w:after="0"/>
            </w:pPr>
          </w:p>
        </w:tc>
        <w:tc>
          <w:tcPr>
            <w:tcW w:w="1134" w:type="dxa"/>
            <w:vAlign w:val="center"/>
          </w:tcPr>
          <w:p w14:paraId="12C79D5E">
            <w:pPr>
              <w:spacing w:after="0"/>
            </w:pPr>
          </w:p>
        </w:tc>
        <w:tc>
          <w:tcPr>
            <w:tcW w:w="1701" w:type="dxa"/>
            <w:vAlign w:val="center"/>
          </w:tcPr>
          <w:p w14:paraId="4790566C">
            <w:pPr>
              <w:spacing w:after="0"/>
            </w:pPr>
          </w:p>
        </w:tc>
        <w:tc>
          <w:tcPr>
            <w:tcW w:w="2835" w:type="dxa"/>
            <w:vAlign w:val="center"/>
          </w:tcPr>
          <w:p w14:paraId="75F008EB">
            <w:pPr>
              <w:spacing w:after="0"/>
            </w:pPr>
          </w:p>
        </w:tc>
        <w:tc>
          <w:tcPr>
            <w:tcW w:w="2381" w:type="dxa"/>
            <w:vAlign w:val="center"/>
          </w:tcPr>
          <w:p w14:paraId="42592CB7">
            <w:pPr>
              <w:spacing w:after="0"/>
            </w:pPr>
          </w:p>
        </w:tc>
      </w:tr>
      <w:tr w14:paraId="5D10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7504EF88">
            <w:pPr>
              <w:spacing w:after="0"/>
              <w:jc w:val="center"/>
              <w:rPr>
                <w:rFonts w:hint="eastAsia" w:ascii="宋体" w:hAnsi="宋体" w:eastAsia="宋体"/>
                <w:sz w:val="21"/>
                <w:lang w:eastAsia="zh-CN"/>
              </w:rPr>
            </w:pPr>
            <w:r>
              <w:rPr>
                <w:rFonts w:hint="eastAsia" w:ascii="宋体" w:hAnsi="宋体" w:eastAsia="宋体"/>
                <w:sz w:val="21"/>
                <w:lang w:eastAsia="zh-CN"/>
              </w:rPr>
              <w:t>14</w:t>
            </w:r>
          </w:p>
        </w:tc>
        <w:tc>
          <w:tcPr>
            <w:tcW w:w="1134" w:type="dxa"/>
            <w:vAlign w:val="center"/>
          </w:tcPr>
          <w:p w14:paraId="41AB3F27">
            <w:pPr>
              <w:spacing w:after="0"/>
            </w:pPr>
          </w:p>
        </w:tc>
        <w:tc>
          <w:tcPr>
            <w:tcW w:w="1134" w:type="dxa"/>
            <w:vAlign w:val="center"/>
          </w:tcPr>
          <w:p w14:paraId="412814AF">
            <w:pPr>
              <w:spacing w:after="0"/>
            </w:pPr>
          </w:p>
        </w:tc>
        <w:tc>
          <w:tcPr>
            <w:tcW w:w="1701" w:type="dxa"/>
            <w:vAlign w:val="center"/>
          </w:tcPr>
          <w:p w14:paraId="52597083">
            <w:pPr>
              <w:spacing w:after="0"/>
            </w:pPr>
          </w:p>
        </w:tc>
        <w:tc>
          <w:tcPr>
            <w:tcW w:w="2835" w:type="dxa"/>
            <w:vAlign w:val="center"/>
          </w:tcPr>
          <w:p w14:paraId="5323BD24">
            <w:pPr>
              <w:spacing w:after="0"/>
            </w:pPr>
          </w:p>
        </w:tc>
        <w:tc>
          <w:tcPr>
            <w:tcW w:w="2381" w:type="dxa"/>
            <w:vAlign w:val="center"/>
          </w:tcPr>
          <w:p w14:paraId="5B6E1D0D">
            <w:pPr>
              <w:spacing w:after="0"/>
            </w:pPr>
          </w:p>
        </w:tc>
      </w:tr>
      <w:tr w14:paraId="0FF5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0" w:type="dxa"/>
            <w:vAlign w:val="center"/>
          </w:tcPr>
          <w:p w14:paraId="546D34DE">
            <w:pPr>
              <w:spacing w:after="0"/>
              <w:jc w:val="center"/>
              <w:rPr>
                <w:rFonts w:hint="eastAsia" w:ascii="宋体" w:hAnsi="宋体" w:eastAsia="宋体"/>
                <w:sz w:val="21"/>
                <w:lang w:eastAsia="zh-CN"/>
              </w:rPr>
            </w:pPr>
            <w:r>
              <w:rPr>
                <w:rFonts w:hint="eastAsia" w:ascii="宋体" w:hAnsi="宋体" w:eastAsia="宋体"/>
                <w:sz w:val="21"/>
                <w:lang w:eastAsia="zh-CN"/>
              </w:rPr>
              <w:t>15</w:t>
            </w:r>
          </w:p>
        </w:tc>
        <w:tc>
          <w:tcPr>
            <w:tcW w:w="1134" w:type="dxa"/>
            <w:vAlign w:val="center"/>
          </w:tcPr>
          <w:p w14:paraId="44F3C487">
            <w:pPr>
              <w:spacing w:after="0"/>
            </w:pPr>
          </w:p>
        </w:tc>
        <w:tc>
          <w:tcPr>
            <w:tcW w:w="1134" w:type="dxa"/>
            <w:vAlign w:val="center"/>
          </w:tcPr>
          <w:p w14:paraId="64F349D4">
            <w:pPr>
              <w:spacing w:after="0"/>
            </w:pPr>
          </w:p>
        </w:tc>
        <w:tc>
          <w:tcPr>
            <w:tcW w:w="1701" w:type="dxa"/>
            <w:vAlign w:val="center"/>
          </w:tcPr>
          <w:p w14:paraId="1582F7CD">
            <w:pPr>
              <w:spacing w:after="0"/>
            </w:pPr>
          </w:p>
        </w:tc>
        <w:tc>
          <w:tcPr>
            <w:tcW w:w="2835" w:type="dxa"/>
            <w:vAlign w:val="center"/>
          </w:tcPr>
          <w:p w14:paraId="1343713E">
            <w:pPr>
              <w:spacing w:after="0"/>
            </w:pPr>
          </w:p>
        </w:tc>
        <w:tc>
          <w:tcPr>
            <w:tcW w:w="2381" w:type="dxa"/>
            <w:vAlign w:val="center"/>
          </w:tcPr>
          <w:p w14:paraId="3671AB30">
            <w:pPr>
              <w:spacing w:after="0"/>
            </w:pPr>
          </w:p>
        </w:tc>
      </w:tr>
    </w:tbl>
    <w:p w14:paraId="6EE944EA">
      <w:pPr>
        <w:spacing w:before="360"/>
        <w:jc w:val="center"/>
        <w:rPr>
          <w:lang w:eastAsia="zh-CN"/>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moder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59B0"/>
    <w:rsid w:val="0015074B"/>
    <w:rsid w:val="0029639D"/>
    <w:rsid w:val="00326F90"/>
    <w:rsid w:val="005717B0"/>
    <w:rsid w:val="009E5EBF"/>
    <w:rsid w:val="00A83C41"/>
    <w:rsid w:val="00AA1D8D"/>
    <w:rsid w:val="00AB61E1"/>
    <w:rsid w:val="00B47730"/>
    <w:rsid w:val="00CB0664"/>
    <w:rsid w:val="00D41122"/>
    <w:rsid w:val="00F40009"/>
    <w:rsid w:val="00FC693F"/>
    <w:rsid w:val="067A4DC7"/>
    <w:rsid w:val="1CA61357"/>
    <w:rsid w:val="210841E4"/>
    <w:rsid w:val="2C4B4A64"/>
    <w:rsid w:val="33DC5263"/>
    <w:rsid w:val="51654692"/>
    <w:rsid w:val="538327EE"/>
    <w:rsid w:val="652F4E5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uiPriority w:val="99"/>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uiPriority w:val="99"/>
    <w:pPr>
      <w:numPr>
        <w:ilvl w:val="0"/>
        <w:numId w:val="4"/>
      </w:numPr>
      <w:contextualSpacing/>
    </w:pPr>
  </w:style>
  <w:style w:type="paragraph" w:styleId="20">
    <w:name w:val="Body Text"/>
    <w:basedOn w:val="1"/>
    <w:link w:val="147"/>
    <w:unhideWhenUsed/>
    <w:uiPriority w:val="99"/>
    <w:pPr>
      <w:spacing w:after="120"/>
    </w:pPr>
  </w:style>
  <w:style w:type="paragraph" w:styleId="21">
    <w:name w:val="List Number 3"/>
    <w:basedOn w:val="1"/>
    <w:unhideWhenUsed/>
    <w:uiPriority w:val="99"/>
    <w:pPr>
      <w:numPr>
        <w:ilvl w:val="0"/>
        <w:numId w:val="5"/>
      </w:numPr>
      <w:contextualSpacing/>
    </w:pPr>
  </w:style>
  <w:style w:type="paragraph" w:styleId="22">
    <w:name w:val="List 2"/>
    <w:basedOn w:val="1"/>
    <w:unhideWhenUsed/>
    <w:uiPriority w:val="99"/>
    <w:pPr>
      <w:ind w:left="720" w:hanging="360"/>
      <w:contextualSpacing/>
    </w:pPr>
  </w:style>
  <w:style w:type="paragraph" w:styleId="23">
    <w:name w:val="List Continue"/>
    <w:basedOn w:val="1"/>
    <w:unhideWhenUsed/>
    <w:uiPriority w:val="99"/>
    <w:pPr>
      <w:spacing w:after="120"/>
      <w:ind w:left="360"/>
      <w:contextualSpacing/>
    </w:pPr>
  </w:style>
  <w:style w:type="paragraph" w:styleId="24">
    <w:name w:val="List Bullet 2"/>
    <w:basedOn w:val="1"/>
    <w:unhideWhenUsed/>
    <w:uiPriority w:val="99"/>
    <w:pPr>
      <w:numPr>
        <w:ilvl w:val="0"/>
        <w:numId w:val="6"/>
      </w:numPr>
      <w:contextualSpacing/>
    </w:pPr>
  </w:style>
  <w:style w:type="paragraph" w:styleId="25">
    <w:name w:val="Balloon Text"/>
    <w:basedOn w:val="1"/>
    <w:link w:val="167"/>
    <w:semiHidden/>
    <w:unhideWhenUsed/>
    <w:uiPriority w:val="99"/>
    <w:pPr>
      <w:spacing w:after="0" w:line="240" w:lineRule="auto"/>
    </w:pPr>
    <w:rPr>
      <w:sz w:val="18"/>
      <w:szCs w:val="18"/>
    </w:rPr>
  </w:style>
  <w:style w:type="paragraph" w:styleId="26">
    <w:name w:val="footer"/>
    <w:basedOn w:val="1"/>
    <w:link w:val="139"/>
    <w:unhideWhenUsed/>
    <w:uiPriority w:val="99"/>
    <w:pPr>
      <w:tabs>
        <w:tab w:val="center" w:pos="4680"/>
        <w:tab w:val="right" w:pos="9360"/>
      </w:tabs>
      <w:spacing w:after="0" w:line="240" w:lineRule="auto"/>
    </w:pPr>
  </w:style>
  <w:style w:type="paragraph" w:styleId="27">
    <w:name w:val="header"/>
    <w:basedOn w:val="1"/>
    <w:link w:val="138"/>
    <w:unhideWhenUsed/>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uiPriority w:val="99"/>
    <w:pPr>
      <w:ind w:left="360" w:hanging="360"/>
      <w:contextualSpacing/>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uiPriority w:val="99"/>
    <w:rPr>
      <w:sz w:val="21"/>
      <w:szCs w:val="21"/>
    </w:rPr>
  </w:style>
  <w:style w:type="character" w:customStyle="1" w:styleId="138">
    <w:name w:val="页眉 Char"/>
    <w:basedOn w:val="134"/>
    <w:link w:val="27"/>
    <w:qFormat/>
    <w:uiPriority w:val="99"/>
  </w:style>
  <w:style w:type="character" w:customStyle="1" w:styleId="139">
    <w:name w:val="页脚 Char"/>
    <w:basedOn w:val="134"/>
    <w:link w:val="26"/>
    <w:qFormat/>
    <w:uiPriority w:val="99"/>
  </w:style>
  <w:style w:type="paragraph" w:styleId="140">
    <w:name w:val="No Spacing"/>
    <w:qFormat/>
    <w:uiPriority w:val="1"/>
    <w:rPr>
      <w:rFonts w:asciiTheme="minorHAnsi" w:hAnsiTheme="minorHAnsi" w:eastAsiaTheme="minorEastAsia" w:cstheme="minorBidi"/>
      <w:sz w:val="22"/>
      <w:szCs w:val="22"/>
      <w:lang w:val="en-US" w:eastAsia="en-US" w:bidi="ar-SA"/>
    </w:rPr>
  </w:style>
  <w:style w:type="character" w:customStyle="1" w:styleId="141">
    <w:name w:val="标题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Char"/>
    <w:basedOn w:val="134"/>
    <w:link w:val="20"/>
    <w:qFormat/>
    <w:uiPriority w:val="99"/>
  </w:style>
  <w:style w:type="character" w:customStyle="1" w:styleId="148">
    <w:name w:val="正文文本 2 Char"/>
    <w:basedOn w:val="134"/>
    <w:link w:val="30"/>
    <w:qFormat/>
    <w:uiPriority w:val="99"/>
  </w:style>
  <w:style w:type="character" w:customStyle="1" w:styleId="149">
    <w:name w:val="正文文本 3 Char"/>
    <w:basedOn w:val="134"/>
    <w:link w:val="18"/>
    <w:qFormat/>
    <w:uiPriority w:val="99"/>
    <w:rPr>
      <w:sz w:val="16"/>
      <w:szCs w:val="16"/>
    </w:rPr>
  </w:style>
  <w:style w:type="character" w:customStyle="1" w:styleId="150">
    <w:name w:val="宏文本 Char"/>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Char"/>
    <w:basedOn w:val="134"/>
    <w:link w:val="151"/>
    <w:qFormat/>
    <w:uiPriority w:val="29"/>
    <w:rPr>
      <w:i/>
      <w:iCs/>
      <w:color w:val="000000" w:themeColor="text1"/>
      <w14:textFill>
        <w14:solidFill>
          <w14:schemeClr w14:val="tx1"/>
        </w14:solidFill>
      </w14:textFill>
    </w:rPr>
  </w:style>
  <w:style w:type="character" w:customStyle="1" w:styleId="153">
    <w:name w:val="标题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Char"/>
    <w:basedOn w:val="134"/>
    <w:link w:val="7"/>
    <w:semiHidden/>
    <w:uiPriority w:val="9"/>
    <w:rPr>
      <w:rFonts w:asciiTheme="majorHAnsi" w:hAnsiTheme="majorHAnsi" w:eastAsiaTheme="majorEastAsia" w:cstheme="majorBidi"/>
      <w:color w:val="254061" w:themeColor="accent1" w:themeShade="80"/>
    </w:rPr>
  </w:style>
  <w:style w:type="character" w:customStyle="1" w:styleId="155">
    <w:name w:val="标题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Char"/>
    <w:basedOn w:val="134"/>
    <w:link w:val="159"/>
    <w:qFormat/>
    <w:uiPriority w:val="30"/>
    <w:rPr>
      <w:b/>
      <w:bCs/>
      <w:i/>
      <w:iCs/>
      <w:color w:val="4F81BD" w:themeColor="accent1"/>
      <w14:textFill>
        <w14:solidFill>
          <w14:schemeClr w14:val="accent1"/>
        </w14:solidFill>
      </w14:textFill>
    </w:rPr>
  </w:style>
  <w:style w:type="character" w:customStyle="1" w:styleId="161">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明显强调1"/>
    <w:basedOn w:val="134"/>
    <w:qFormat/>
    <w:uiPriority w:val="21"/>
    <w:rPr>
      <w:b/>
      <w:bCs/>
      <w:i/>
      <w:iCs/>
      <w:color w:val="4F81BD" w:themeColor="accent1"/>
      <w14:textFill>
        <w14:solidFill>
          <w14:schemeClr w14:val="accent1"/>
        </w14:solidFill>
      </w14:textFill>
    </w:rPr>
  </w:style>
  <w:style w:type="character" w:customStyle="1" w:styleId="163">
    <w:name w:val="不明显参考1"/>
    <w:basedOn w:val="134"/>
    <w:qFormat/>
    <w:uiPriority w:val="31"/>
    <w:rPr>
      <w:smallCaps/>
      <w:color w:val="C0504D" w:themeColor="accent2"/>
      <w:u w:val="single"/>
      <w14:textFill>
        <w14:solidFill>
          <w14:schemeClr w14:val="accent2"/>
        </w14:solidFill>
      </w14:textFill>
    </w:rPr>
  </w:style>
  <w:style w:type="character" w:customStyle="1" w:styleId="164">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书籍标题1"/>
    <w:basedOn w:val="134"/>
    <w:qFormat/>
    <w:uiPriority w:val="33"/>
    <w:rPr>
      <w:b/>
      <w:bCs/>
      <w:smallCaps/>
      <w:spacing w:val="5"/>
    </w:rPr>
  </w:style>
  <w:style w:type="paragraph" w:customStyle="1" w:styleId="166">
    <w:name w:val="TOC 标题1"/>
    <w:basedOn w:val="3"/>
    <w:next w:val="1"/>
    <w:semiHidden/>
    <w:unhideWhenUsed/>
    <w:qFormat/>
    <w:uiPriority w:val="39"/>
    <w:pPr>
      <w:outlineLvl w:val="9"/>
    </w:pPr>
  </w:style>
  <w:style w:type="character" w:customStyle="1" w:styleId="167">
    <w:name w:val="批注框文本 Char"/>
    <w:basedOn w:val="134"/>
    <w:link w:val="25"/>
    <w:semiHidden/>
    <w:uiPriority w:val="99"/>
    <w:rPr>
      <w:rFonts w:asciiTheme="minorHAnsi" w:hAnsiTheme="minorHAnsi" w:eastAsiaTheme="minorEastAsia" w:cstheme="minorBidi"/>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17B5C-8FE2-457F-A723-439242EB7E99}">
  <ds:schemaRefs/>
</ds:datastoreItem>
</file>

<file path=docProps/app.xml><?xml version="1.0" encoding="utf-8"?>
<Properties xmlns="http://schemas.openxmlformats.org/officeDocument/2006/extended-properties" xmlns:vt="http://schemas.openxmlformats.org/officeDocument/2006/docPropsVTypes">
  <Template>Normal.dotm</Template>
  <Company>Micorosoft</Company>
  <Pages>5</Pages>
  <Words>2530</Words>
  <Characters>2643</Characters>
  <Lines>21</Lines>
  <Paragraphs>6</Paragraphs>
  <TotalTime>13</TotalTime>
  <ScaleCrop>false</ScaleCrop>
  <LinksUpToDate>false</LinksUpToDate>
  <CharactersWithSpaces>2742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2026-07-16T06:14:00Z</dcterms:created>
  <dc:creator>python-docx</dc:creator>
  <dc:description>generated by python-docx</dc:description>
  <cp:lastModifiedBy>Haiyan YU</cp:lastModifiedBy>
  <cp:lastPrinted>2026-07-16T08:00:00Z</cp:lastPrinted>
  <dcterms:modified xsi:type="dcterms:W3CDTF">2026-08-11T00:43:18Z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eyJoZGlkIjoiZDk1ZGNjY2UwOWJjOGEyM2VlNzRiN2MwMGYyZWI3NWIiLCJ1c2VySWQiOiIyMzkxMjEyMjQifQ==</vt:lpwstr>
  </property>
  <property fmtid="{D5CDD505-2E9C-101B-9397-08002B2CF9AE}" pid="3" name="KSOProductBuildVer">
    <vt:lpwstr>2052-12.1.0.28043</vt:lpwstr>
  </property>
  <property fmtid="{D5CDD505-2E9C-101B-9397-08002B2CF9AE}" pid="4" name="ICV">
    <vt:lpwstr>9CA620EF1E0C4F4E831E53CE6A337BE9_13</vt:lpwstr>
  </property>
</Properties>
</file>