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7637A">
      <w:pPr>
        <w:pStyle w:val="2"/>
        <w:jc w:val="center"/>
      </w:pPr>
      <w:r>
        <w:t>集采药品管理系统招标项目需求简单摘要</w:t>
      </w:r>
    </w:p>
    <w:p w14:paraId="270A5476">
      <w:pPr>
        <w:pStyle w:val="3"/>
      </w:pPr>
      <w:r>
        <w:t>一、项目背景</w:t>
      </w:r>
    </w:p>
    <w:p w14:paraId="4BF09378">
      <w:pPr>
        <w:pStyle w:val="16"/>
        <w:ind w:firstLine="440" w:firstLineChars="200"/>
      </w:pPr>
      <w:r>
        <w:t>响应国家药品集中采购政策，依据《国家组织药品集中采购试点方案》等文件要求，为降低群众药费负担、规范药品流通秩序、保障用药安全，采购 1 套集采药品管理系统，实现集采药品全流程规范管理。</w:t>
      </w:r>
    </w:p>
    <w:p w14:paraId="60A0F70E">
      <w:pPr>
        <w:pStyle w:val="3"/>
      </w:pPr>
      <w:r>
        <w:t>二、采购内容</w:t>
      </w:r>
    </w:p>
    <w:p w14:paraId="3807EAA5">
      <w:pPr>
        <w:pStyle w:val="16"/>
        <w:ind w:firstLine="440" w:firstLineChars="200"/>
      </w:pPr>
      <w:r>
        <w:t>1 套集采药品管理系统，需满足院内集采药品从基础数据维护、采购管理到统计分析、绩效评价等全流程管理需求。</w:t>
      </w:r>
    </w:p>
    <w:p w14:paraId="1C5D4323">
      <w:pPr>
        <w:pStyle w:val="3"/>
      </w:pPr>
      <w:r>
        <w:t>三、核心技术要求</w:t>
      </w:r>
    </w:p>
    <w:p w14:paraId="3308E380">
      <w:pPr>
        <w:pStyle w:val="4"/>
      </w:pPr>
      <w:r>
        <w:t>（一）功能需求</w:t>
      </w:r>
    </w:p>
    <w:p w14:paraId="603D1696">
      <w:pPr>
        <w:pStyle w:val="16"/>
        <w:numPr>
          <w:ilvl w:val="0"/>
          <w:numId w:val="1"/>
        </w:numPr>
      </w:pPr>
      <w:r>
        <w:rPr>
          <w:b/>
          <w:bCs/>
        </w:rPr>
        <w:t>基础数据管理</w:t>
      </w:r>
      <w:r>
        <w:t>：含信息发布（院内通知、新闻等）、科室 / 人员设置（对接 HIS 系统获取数据）、管理字典维护（岗位状态、集采批次等）、集采药品目录（国家发布目录，含替代药品信息）等。</w:t>
      </w:r>
    </w:p>
    <w:p w14:paraId="4A21342B">
      <w:pPr>
        <w:pStyle w:val="16"/>
        <w:numPr>
          <w:ilvl w:val="0"/>
          <w:numId w:val="1"/>
        </w:numPr>
      </w:pPr>
      <w:r>
        <w:rPr>
          <w:b/>
          <w:bCs/>
        </w:rPr>
        <w:t>集采药品管理</w:t>
      </w:r>
      <w:r>
        <w:t>：支持预采购量测算（自动计算历史用量）、合同用量分配 / 审核 / 修改（自动或手动分配）、可替代药品管理（分组匹配与调整）、非中选药品管理（比例限制提示）、医师处方权限控制等。</w:t>
      </w:r>
    </w:p>
    <w:p w14:paraId="2CF690DE">
      <w:pPr>
        <w:pStyle w:val="16"/>
        <w:numPr>
          <w:ilvl w:val="0"/>
          <w:numId w:val="1"/>
        </w:numPr>
      </w:pPr>
      <w:r>
        <w:rPr>
          <w:b/>
          <w:bCs/>
        </w:rPr>
        <w:t>统计查询与分析</w:t>
      </w:r>
      <w:r>
        <w:t>：生成预报量、处方用量等报表，查询合同用量完成情况，分析集采 / 中选 / 可替代药品使用情况（表格、图表展示），提供逾期预警（药品、科室未达标预警）及管理成效评价（二次换药率、报量准确度等）。</w:t>
      </w:r>
    </w:p>
    <w:p w14:paraId="60AB2FD3">
      <w:pPr>
        <w:pStyle w:val="16"/>
        <w:numPr>
          <w:ilvl w:val="0"/>
          <w:numId w:val="1"/>
        </w:numPr>
      </w:pPr>
      <w:r>
        <w:rPr>
          <w:b/>
          <w:bCs/>
        </w:rPr>
        <w:t>绩效管理</w:t>
      </w:r>
      <w:r>
        <w:t>：对带量 / 未带量医师、科室进行绩效评分与激励计算，含管理部门绩效核算（基于医保资金结余留用）。</w:t>
      </w:r>
    </w:p>
    <w:p w14:paraId="20FD0EB1">
      <w:pPr>
        <w:pStyle w:val="16"/>
        <w:numPr>
          <w:ilvl w:val="0"/>
          <w:numId w:val="1"/>
        </w:numPr>
      </w:pPr>
      <w:r>
        <w:rPr>
          <w:b/>
          <w:bCs/>
        </w:rPr>
        <w:t>数据接口与安全</w:t>
      </w:r>
      <w:r>
        <w:t>：对接 HIS 系统实现医师 / 科室合同用量查询，保障数据全生命周期安全（加密、审计、容灾备份等）。</w:t>
      </w:r>
    </w:p>
    <w:p w14:paraId="7C85401B">
      <w:pPr>
        <w:pStyle w:val="4"/>
      </w:pPr>
      <w:r>
        <w:t>（二）硬件与环境要求</w:t>
      </w:r>
    </w:p>
    <w:p w14:paraId="49E6F861">
      <w:pPr>
        <w:pStyle w:val="16"/>
        <w:ind w:firstLine="660" w:firstLineChars="300"/>
      </w:pPr>
      <w:r>
        <w:t>需 1 台 WEB 服务器（物理机或虚拟机）：CPU≥2 颗 Intel Xeon Silver 4310（或同等配置）、内存≥32G、硬盘≥800G（分区明确），操作系统≥Windows Server 2019 数据中心版，数据库≥SQL Server 2008 版。</w:t>
      </w:r>
    </w:p>
    <w:p w14:paraId="0AE5B67A">
      <w:pPr>
        <w:pStyle w:val="3"/>
      </w:pPr>
      <w:r>
        <w:t>四、服务要求</w:t>
      </w:r>
    </w:p>
    <w:p w14:paraId="6EB54A5E">
      <w:pPr>
        <w:pStyle w:val="16"/>
        <w:numPr>
          <w:ilvl w:val="0"/>
          <w:numId w:val="2"/>
        </w:numPr>
      </w:pPr>
      <w:r>
        <w:rPr>
          <w:b/>
          <w:bCs/>
        </w:rPr>
        <w:t>实施交付</w:t>
      </w:r>
      <w:r>
        <w:t>：合同签订后 60 个日历日内完成安装、调试及上线，提供详细实施方案，自行解决安装工具与材料。</w:t>
      </w:r>
    </w:p>
    <w:p w14:paraId="2D73D09A">
      <w:pPr>
        <w:pStyle w:val="16"/>
        <w:numPr>
          <w:ilvl w:val="0"/>
          <w:numId w:val="2"/>
        </w:numPr>
      </w:pPr>
      <w:r>
        <w:rPr>
          <w:b/>
          <w:bCs/>
        </w:rPr>
        <w:t>售后支持</w:t>
      </w:r>
      <w:r>
        <w:t xml:space="preserve">：7×24 小时电话支持，紧急故障 20 分钟内响应、2 小时内定位，重大问题现场处理；免费质保 1 年（含升级、漏洞修复、培训），质保后年度维护费≤合同总金额 </w:t>
      </w:r>
      <w:r>
        <w:rPr>
          <w:rFonts w:hint="eastAsia"/>
          <w:lang w:val="en-US" w:eastAsia="zh-CN"/>
        </w:rPr>
        <w:t>*</w:t>
      </w:r>
      <w:r>
        <w:t>8%。</w:t>
      </w:r>
    </w:p>
    <w:p w14:paraId="34F31C14">
      <w:pPr>
        <w:pStyle w:val="16"/>
        <w:numPr>
          <w:ilvl w:val="0"/>
          <w:numId w:val="2"/>
        </w:numPr>
      </w:pPr>
      <w:r>
        <w:rPr>
          <w:b/>
          <w:bCs/>
        </w:rPr>
        <w:t>人员要求</w:t>
      </w:r>
      <w:r>
        <w:t>：提供技术人员相关专业证明材料，项目团队需配备产品经理、实施工程师、运维工程师等（至少 4 人）。</w:t>
      </w:r>
    </w:p>
    <w:p w14:paraId="69C1D3D5">
      <w:pPr>
        <w:pStyle w:val="16"/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rFonts w:hint="default"/>
        <w:color w:val="auto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7B52C61"/>
    <w:rsid w:val="62FF7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1116</Words>
  <Characters>1197</Characters>
  <TotalTime>1</TotalTime>
  <ScaleCrop>false</ScaleCrop>
  <LinksUpToDate>false</LinksUpToDate>
  <CharactersWithSpaces>1270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2025-09-12T08:01:00Z</dcterms:created>
  <dc:creator>Un-named</dc:creator>
  <cp:lastModifiedBy>霏妈</cp:lastModifiedBy>
  <dcterms:modified xsi:type="dcterms:W3CDTF">2025-09-16T06:46:41Z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eyJoZGlkIjoiYmZmZTMxMTJjYTVhMjRiMmM1ZTQ0YTczNGU5MTRhOGQiLCJ1c2VySWQiOiI3MzAxMzk5MzMifQ==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4ABB4F72C223427AB83F08AD2F4FC590_13</vt:lpwstr>
  </property>
</Properties>
</file>