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CAF8609">
      <w:pPr>
        <w:pStyle w:val="14"/>
        <w:spacing w:line="560" w:lineRule="exact"/>
        <w:rPr>
          <w:rFonts w:ascii="方正小标宋简体" w:hAnsi="方正小标宋简体" w:eastAsia="方正小标宋简体" w:cs="方正小标宋简体"/>
          <w:color w:val="000000" w:themeColor="text1"/>
          <w:sz w:val="44"/>
          <w:szCs w:val="44"/>
          <w14:textFill>
            <w14:solidFill>
              <w14:schemeClr w14:val="tx1"/>
            </w14:solidFill>
          </w14:textFill>
        </w:rPr>
      </w:pPr>
      <w:r>
        <w:rPr>
          <w:rFonts w:hint="eastAsia" w:ascii="华文中宋" w:hAnsi="华文中宋" w:eastAsia="华文中宋" w:cs="宋体"/>
          <w:color w:val="333333"/>
          <w:kern w:val="0"/>
          <w:sz w:val="44"/>
          <w:szCs w:val="44"/>
        </w:rPr>
        <w:t>货物类项目采购需求申报书</w:t>
      </w:r>
    </w:p>
    <w:p w14:paraId="57EE3049">
      <w:pPr>
        <w:rPr>
          <w:color w:val="000000" w:themeColor="text1"/>
          <w14:textFill>
            <w14:solidFill>
              <w14:schemeClr w14:val="tx1"/>
            </w14:solidFill>
          </w14:textFill>
        </w:rPr>
      </w:pPr>
    </w:p>
    <w:tbl>
      <w:tblPr>
        <w:tblStyle w:val="16"/>
        <w:tblW w:w="9285" w:type="dxa"/>
        <w:tblInd w:w="-25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6"/>
        <w:gridCol w:w="2078"/>
        <w:gridCol w:w="3243"/>
        <w:gridCol w:w="1543"/>
        <w:gridCol w:w="1995"/>
      </w:tblGrid>
      <w:tr w14:paraId="5CEA86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04" w:type="dxa"/>
            <w:gridSpan w:val="2"/>
            <w:vAlign w:val="center"/>
          </w:tcPr>
          <w:p w14:paraId="61790DCC">
            <w:pPr>
              <w:jc w:val="center"/>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项目名称</w:t>
            </w:r>
          </w:p>
        </w:tc>
        <w:tc>
          <w:tcPr>
            <w:tcW w:w="3243" w:type="dxa"/>
            <w:vAlign w:val="center"/>
          </w:tcPr>
          <w:p w14:paraId="5FBA95D8">
            <w:pPr>
              <w:jc w:val="center"/>
              <w:rPr>
                <w:rFonts w:hint="default" w:asciiTheme="minorEastAsia" w:hAnsiTheme="minorEastAsia" w:eastAsiaTheme="minorEastAsia"/>
                <w:color w:val="auto"/>
                <w:szCs w:val="21"/>
                <w:highlight w:val="none"/>
                <w:lang w:val="en-US" w:eastAsia="zh-CN"/>
              </w:rPr>
            </w:pPr>
            <w:r>
              <w:rPr>
                <w:rFonts w:hint="eastAsia" w:asciiTheme="minorEastAsia" w:hAnsiTheme="minorEastAsia" w:eastAsiaTheme="minorEastAsia"/>
                <w:color w:val="auto"/>
                <w:szCs w:val="21"/>
                <w:highlight w:val="none"/>
                <w:lang w:val="en-US" w:eastAsia="zh-CN"/>
              </w:rPr>
              <w:t>呼出气分析仪</w:t>
            </w:r>
          </w:p>
        </w:tc>
        <w:tc>
          <w:tcPr>
            <w:tcW w:w="1543" w:type="dxa"/>
            <w:vAlign w:val="center"/>
          </w:tcPr>
          <w:p w14:paraId="4ECEB2C6">
            <w:pPr>
              <w:jc w:val="center"/>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采购类型</w:t>
            </w:r>
          </w:p>
        </w:tc>
        <w:tc>
          <w:tcPr>
            <w:tcW w:w="1995" w:type="dxa"/>
            <w:vAlign w:val="center"/>
          </w:tcPr>
          <w:p w14:paraId="112924C6">
            <w:pPr>
              <w:jc w:val="center"/>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货物类</w:t>
            </w:r>
          </w:p>
        </w:tc>
      </w:tr>
      <w:tr w14:paraId="7A7F59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04" w:type="dxa"/>
            <w:gridSpan w:val="2"/>
            <w:vAlign w:val="center"/>
          </w:tcPr>
          <w:p w14:paraId="29F605F3">
            <w:pPr>
              <w:jc w:val="center"/>
              <w:rPr>
                <w:rFonts w:hint="eastAsia" w:asciiTheme="minorEastAsia" w:hAnsiTheme="minorEastAsia" w:eastAsiaTheme="minorEastAsia"/>
                <w:color w:val="auto"/>
                <w:szCs w:val="21"/>
                <w:highlight w:val="none"/>
                <w:lang w:eastAsia="zh-CN"/>
              </w:rPr>
            </w:pPr>
            <w:r>
              <w:rPr>
                <w:rFonts w:hint="eastAsia" w:asciiTheme="minorEastAsia" w:hAnsiTheme="minorEastAsia" w:eastAsiaTheme="minorEastAsia"/>
                <w:color w:val="auto"/>
                <w:szCs w:val="21"/>
                <w:highlight w:val="none"/>
                <w:lang w:eastAsia="zh-CN"/>
              </w:rPr>
              <w:t>数量</w:t>
            </w:r>
          </w:p>
        </w:tc>
        <w:tc>
          <w:tcPr>
            <w:tcW w:w="3243" w:type="dxa"/>
            <w:vAlign w:val="center"/>
          </w:tcPr>
          <w:p w14:paraId="7FE451BF">
            <w:pPr>
              <w:jc w:val="center"/>
              <w:rPr>
                <w:rFonts w:hint="default" w:asciiTheme="minorEastAsia" w:hAnsiTheme="minorEastAsia" w:eastAsiaTheme="minorEastAsia"/>
                <w:color w:val="auto"/>
                <w:szCs w:val="21"/>
                <w:highlight w:val="none"/>
                <w:lang w:val="en-US" w:eastAsia="zh-CN"/>
              </w:rPr>
            </w:pPr>
            <w:r>
              <w:rPr>
                <w:rFonts w:hint="eastAsia" w:asciiTheme="minorEastAsia" w:hAnsiTheme="minorEastAsia" w:eastAsiaTheme="minorEastAsia"/>
                <w:color w:val="auto"/>
                <w:szCs w:val="21"/>
                <w:highlight w:val="none"/>
                <w:lang w:val="en-US" w:eastAsia="zh-CN"/>
              </w:rPr>
              <w:t>1</w:t>
            </w:r>
          </w:p>
        </w:tc>
        <w:tc>
          <w:tcPr>
            <w:tcW w:w="1543" w:type="dxa"/>
            <w:vAlign w:val="center"/>
          </w:tcPr>
          <w:p w14:paraId="0781C178">
            <w:pPr>
              <w:jc w:val="center"/>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采购</w:t>
            </w:r>
            <w:r>
              <w:rPr>
                <w:rFonts w:hint="eastAsia" w:asciiTheme="minorEastAsia" w:hAnsiTheme="minorEastAsia" w:eastAsiaTheme="minorEastAsia"/>
                <w:color w:val="auto"/>
                <w:szCs w:val="21"/>
                <w:highlight w:val="none"/>
              </w:rPr>
              <w:t>方</w:t>
            </w:r>
            <w:r>
              <w:rPr>
                <w:rFonts w:asciiTheme="minorEastAsia" w:hAnsiTheme="minorEastAsia" w:eastAsiaTheme="minorEastAsia"/>
                <w:color w:val="auto"/>
                <w:szCs w:val="21"/>
                <w:highlight w:val="none"/>
              </w:rPr>
              <w:t>式</w:t>
            </w:r>
          </w:p>
        </w:tc>
        <w:tc>
          <w:tcPr>
            <w:tcW w:w="1995" w:type="dxa"/>
            <w:vAlign w:val="center"/>
          </w:tcPr>
          <w:p w14:paraId="3CF45C37">
            <w:pPr>
              <w:jc w:val="center"/>
              <w:rPr>
                <w:rFonts w:hint="eastAsia" w:asciiTheme="minorEastAsia" w:hAnsiTheme="minorEastAsia" w:eastAsiaTheme="minorEastAsia"/>
                <w:color w:val="auto"/>
                <w:szCs w:val="21"/>
                <w:highlight w:val="none"/>
                <w:lang w:eastAsia="zh-CN"/>
              </w:rPr>
            </w:pPr>
            <w:r>
              <w:rPr>
                <w:rFonts w:hint="eastAsia" w:asciiTheme="minorEastAsia" w:hAnsiTheme="minorEastAsia" w:eastAsiaTheme="minorEastAsia"/>
                <w:color w:val="auto"/>
                <w:szCs w:val="21"/>
                <w:highlight w:val="none"/>
                <w:lang w:eastAsia="zh-CN"/>
              </w:rPr>
              <w:t>公开招标</w:t>
            </w:r>
          </w:p>
        </w:tc>
      </w:tr>
      <w:tr w14:paraId="69EC77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04" w:type="dxa"/>
            <w:gridSpan w:val="2"/>
            <w:vAlign w:val="center"/>
          </w:tcPr>
          <w:p w14:paraId="143AB426">
            <w:pPr>
              <w:jc w:val="center"/>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预算限额（万元）</w:t>
            </w:r>
          </w:p>
        </w:tc>
        <w:tc>
          <w:tcPr>
            <w:tcW w:w="3243" w:type="dxa"/>
            <w:vAlign w:val="center"/>
          </w:tcPr>
          <w:p w14:paraId="0E137FDA">
            <w:pPr>
              <w:jc w:val="center"/>
              <w:rPr>
                <w:rFonts w:hint="default" w:asciiTheme="minorEastAsia" w:hAnsiTheme="minorEastAsia" w:eastAsiaTheme="minorEastAsia"/>
                <w:color w:val="auto"/>
                <w:szCs w:val="21"/>
                <w:highlight w:val="none"/>
                <w:lang w:val="en-US" w:eastAsia="zh-CN"/>
              </w:rPr>
            </w:pPr>
            <w:r>
              <w:rPr>
                <w:rFonts w:hint="eastAsia" w:asciiTheme="minorEastAsia" w:hAnsiTheme="minorEastAsia" w:eastAsiaTheme="minorEastAsia"/>
                <w:color w:val="auto"/>
                <w:szCs w:val="21"/>
                <w:highlight w:val="none"/>
                <w:lang w:val="en-US" w:eastAsia="zh-CN"/>
              </w:rPr>
              <w:t>4.8</w:t>
            </w:r>
          </w:p>
        </w:tc>
        <w:tc>
          <w:tcPr>
            <w:tcW w:w="1543" w:type="dxa"/>
            <w:shd w:val="clear" w:color="auto" w:fill="auto"/>
            <w:vAlign w:val="center"/>
          </w:tcPr>
          <w:p w14:paraId="5BA8D4B9">
            <w:pPr>
              <w:jc w:val="center"/>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lang w:eastAsia="zh-CN"/>
              </w:rPr>
              <w:t>是否接受进口</w:t>
            </w:r>
          </w:p>
        </w:tc>
        <w:tc>
          <w:tcPr>
            <w:tcW w:w="1995" w:type="dxa"/>
            <w:shd w:val="clear" w:color="auto" w:fill="auto"/>
            <w:vAlign w:val="center"/>
          </w:tcPr>
          <w:p w14:paraId="2158AEE0">
            <w:pPr>
              <w:jc w:val="center"/>
              <w:rPr>
                <w:rFonts w:hint="default" w:asciiTheme="minorEastAsia" w:hAnsiTheme="minorEastAsia" w:eastAsiaTheme="minorEastAsia"/>
                <w:color w:val="auto"/>
                <w:szCs w:val="21"/>
                <w:highlight w:val="none"/>
                <w:lang w:val="en-US" w:eastAsia="zh-CN"/>
              </w:rPr>
            </w:pPr>
            <w:r>
              <w:rPr>
                <w:rFonts w:hint="eastAsia" w:asciiTheme="minorEastAsia" w:hAnsiTheme="minorEastAsia" w:eastAsiaTheme="minorEastAsia"/>
                <w:color w:val="auto"/>
                <w:szCs w:val="21"/>
                <w:highlight w:val="none"/>
                <w:lang w:val="en-US" w:eastAsia="zh-CN"/>
              </w:rPr>
              <w:t>否</w:t>
            </w:r>
          </w:p>
        </w:tc>
      </w:tr>
      <w:tr w14:paraId="7D9A89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5747" w:type="dxa"/>
            <w:gridSpan w:val="3"/>
            <w:vAlign w:val="center"/>
          </w:tcPr>
          <w:p w14:paraId="214FB278">
            <w:pPr>
              <w:jc w:val="center"/>
              <w:rPr>
                <w:rFonts w:hint="default" w:asciiTheme="minorEastAsia" w:hAnsiTheme="minorEastAsia" w:eastAsiaTheme="minorEastAsia"/>
                <w:color w:val="auto"/>
                <w:szCs w:val="21"/>
                <w:highlight w:val="none"/>
                <w:lang w:val="en-US" w:eastAsia="zh-CN"/>
              </w:rPr>
            </w:pPr>
            <w:r>
              <w:rPr>
                <w:rFonts w:hint="eastAsia" w:asciiTheme="minorEastAsia" w:hAnsiTheme="minorEastAsia" w:eastAsiaTheme="minorEastAsia"/>
                <w:color w:val="auto"/>
                <w:szCs w:val="21"/>
                <w:highlight w:val="none"/>
                <w:lang w:val="en-US" w:eastAsia="zh-CN"/>
              </w:rPr>
              <w:t>设备是否需要具备医疗器械注册证</w:t>
            </w:r>
          </w:p>
        </w:tc>
        <w:tc>
          <w:tcPr>
            <w:tcW w:w="3538" w:type="dxa"/>
            <w:gridSpan w:val="2"/>
            <w:shd w:val="clear" w:color="auto" w:fill="auto"/>
            <w:vAlign w:val="center"/>
          </w:tcPr>
          <w:p w14:paraId="594DB3B1">
            <w:pPr>
              <w:jc w:val="center"/>
              <w:rPr>
                <w:rFonts w:hint="default" w:asciiTheme="minorEastAsia" w:hAnsiTheme="minorEastAsia" w:eastAsiaTheme="minorEastAsia"/>
                <w:color w:val="auto"/>
                <w:szCs w:val="21"/>
                <w:highlight w:val="none"/>
                <w:lang w:val="en-US" w:eastAsia="zh-CN"/>
              </w:rPr>
            </w:pPr>
            <w:r>
              <w:rPr>
                <w:rFonts w:hint="eastAsia" w:asciiTheme="minorEastAsia" w:hAnsiTheme="minorEastAsia" w:eastAsiaTheme="minorEastAsia"/>
                <w:color w:val="auto"/>
                <w:szCs w:val="21"/>
                <w:highlight w:val="none"/>
                <w:lang w:val="en-US" w:eastAsia="zh-CN"/>
              </w:rPr>
              <w:t>是</w:t>
            </w:r>
          </w:p>
        </w:tc>
      </w:tr>
      <w:tr w14:paraId="36BDFC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426" w:type="dxa"/>
          </w:tcPr>
          <w:p w14:paraId="348CF30F">
            <w:pPr>
              <w:jc w:val="both"/>
              <w:rPr>
                <w:rFonts w:hint="eastAsia" w:cs="宋体" w:asciiTheme="minorEastAsia" w:hAnsiTheme="minorEastAsia" w:eastAsiaTheme="minorEastAsia"/>
                <w:color w:val="auto"/>
                <w:kern w:val="0"/>
                <w:szCs w:val="21"/>
                <w:highlight w:val="none"/>
              </w:rPr>
            </w:pPr>
          </w:p>
          <w:p w14:paraId="49F602DE">
            <w:pPr>
              <w:jc w:val="both"/>
              <w:rPr>
                <w:rFonts w:hint="eastAsia" w:cs="宋体" w:asciiTheme="minorEastAsia" w:hAnsiTheme="minorEastAsia" w:eastAsiaTheme="minorEastAsia"/>
                <w:color w:val="auto"/>
                <w:kern w:val="0"/>
                <w:szCs w:val="21"/>
                <w:highlight w:val="none"/>
              </w:rPr>
            </w:pPr>
          </w:p>
          <w:p w14:paraId="6C2C0C33">
            <w:pPr>
              <w:jc w:val="both"/>
              <w:rPr>
                <w:rFonts w:hint="eastAsia" w:cs="宋体" w:asciiTheme="minorEastAsia" w:hAnsiTheme="minorEastAsia" w:eastAsiaTheme="minorEastAsia"/>
                <w:color w:val="auto"/>
                <w:kern w:val="0"/>
                <w:szCs w:val="21"/>
                <w:highlight w:val="none"/>
              </w:rPr>
            </w:pPr>
          </w:p>
          <w:p w14:paraId="52B1511D">
            <w:pPr>
              <w:jc w:val="both"/>
              <w:rPr>
                <w:rFonts w:cs="宋体" w:asciiTheme="minorEastAsia" w:hAnsiTheme="minorEastAsia" w:eastAsiaTheme="minorEastAsia"/>
                <w:color w:val="auto"/>
                <w:kern w:val="0"/>
                <w:szCs w:val="21"/>
                <w:highlight w:val="none"/>
              </w:rPr>
            </w:pPr>
            <w:r>
              <w:rPr>
                <w:rFonts w:hint="eastAsia" w:cs="宋体" w:asciiTheme="minorEastAsia" w:hAnsiTheme="minorEastAsia" w:eastAsiaTheme="minorEastAsia"/>
                <w:color w:val="auto"/>
                <w:kern w:val="0"/>
                <w:szCs w:val="21"/>
                <w:highlight w:val="none"/>
              </w:rPr>
              <w:t>货物清单</w:t>
            </w:r>
          </w:p>
        </w:tc>
        <w:tc>
          <w:tcPr>
            <w:tcW w:w="8859" w:type="dxa"/>
            <w:gridSpan w:val="4"/>
          </w:tcPr>
          <w:tbl>
            <w:tblPr>
              <w:tblStyle w:val="16"/>
              <w:tblpPr w:leftFromText="180" w:rightFromText="180" w:vertAnchor="text" w:horzAnchor="margin" w:tblpY="17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59"/>
              <w:gridCol w:w="3505"/>
              <w:gridCol w:w="967"/>
              <w:gridCol w:w="1750"/>
              <w:gridCol w:w="1750"/>
            </w:tblGrid>
            <w:tr w14:paraId="113B89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trPr>
              <w:tc>
                <w:tcPr>
                  <w:tcW w:w="659" w:type="dxa"/>
                  <w:noWrap w:val="0"/>
                  <w:vAlign w:val="center"/>
                </w:tcPr>
                <w:p w14:paraId="27A43F31">
                  <w:pPr>
                    <w:jc w:val="center"/>
                    <w:rPr>
                      <w:bCs/>
                      <w:color w:val="auto"/>
                      <w:sz w:val="21"/>
                      <w:szCs w:val="21"/>
                      <w:highlight w:val="none"/>
                    </w:rPr>
                  </w:pPr>
                  <w:r>
                    <w:rPr>
                      <w:rFonts w:hint="eastAsia"/>
                      <w:bCs/>
                      <w:color w:val="auto"/>
                      <w:sz w:val="21"/>
                      <w:szCs w:val="21"/>
                      <w:highlight w:val="none"/>
                    </w:rPr>
                    <w:t>序号</w:t>
                  </w:r>
                </w:p>
              </w:tc>
              <w:tc>
                <w:tcPr>
                  <w:tcW w:w="3505" w:type="dxa"/>
                  <w:noWrap w:val="0"/>
                  <w:vAlign w:val="center"/>
                </w:tcPr>
                <w:p w14:paraId="6F4E0E0D">
                  <w:pPr>
                    <w:jc w:val="center"/>
                    <w:rPr>
                      <w:bCs/>
                      <w:color w:val="auto"/>
                      <w:sz w:val="21"/>
                      <w:szCs w:val="21"/>
                      <w:highlight w:val="none"/>
                    </w:rPr>
                  </w:pPr>
                  <w:r>
                    <w:rPr>
                      <w:rFonts w:hint="eastAsia"/>
                      <w:bCs/>
                      <w:color w:val="auto"/>
                      <w:sz w:val="21"/>
                      <w:szCs w:val="21"/>
                      <w:highlight w:val="none"/>
                    </w:rPr>
                    <w:t>货物名称</w:t>
                  </w:r>
                </w:p>
              </w:tc>
              <w:tc>
                <w:tcPr>
                  <w:tcW w:w="967" w:type="dxa"/>
                  <w:noWrap w:val="0"/>
                  <w:vAlign w:val="center"/>
                </w:tcPr>
                <w:p w14:paraId="415C6F7F">
                  <w:pPr>
                    <w:jc w:val="center"/>
                    <w:rPr>
                      <w:bCs/>
                      <w:color w:val="auto"/>
                      <w:sz w:val="21"/>
                      <w:szCs w:val="21"/>
                      <w:highlight w:val="none"/>
                    </w:rPr>
                  </w:pPr>
                  <w:r>
                    <w:rPr>
                      <w:rFonts w:hint="eastAsia"/>
                      <w:bCs/>
                      <w:color w:val="auto"/>
                      <w:sz w:val="21"/>
                      <w:szCs w:val="21"/>
                      <w:highlight w:val="none"/>
                    </w:rPr>
                    <w:t>数量</w:t>
                  </w:r>
                </w:p>
              </w:tc>
              <w:tc>
                <w:tcPr>
                  <w:tcW w:w="1750" w:type="dxa"/>
                  <w:noWrap w:val="0"/>
                  <w:vAlign w:val="center"/>
                </w:tcPr>
                <w:p w14:paraId="33D190F3">
                  <w:pPr>
                    <w:jc w:val="center"/>
                    <w:rPr>
                      <w:bCs/>
                      <w:color w:val="auto"/>
                      <w:sz w:val="21"/>
                      <w:szCs w:val="21"/>
                      <w:highlight w:val="none"/>
                    </w:rPr>
                  </w:pPr>
                  <w:r>
                    <w:rPr>
                      <w:rFonts w:hint="eastAsia"/>
                      <w:bCs/>
                      <w:color w:val="auto"/>
                      <w:sz w:val="21"/>
                      <w:szCs w:val="21"/>
                      <w:highlight w:val="none"/>
                    </w:rPr>
                    <w:t>单位</w:t>
                  </w:r>
                </w:p>
              </w:tc>
              <w:tc>
                <w:tcPr>
                  <w:tcW w:w="1750" w:type="dxa"/>
                  <w:noWrap w:val="0"/>
                  <w:vAlign w:val="center"/>
                </w:tcPr>
                <w:p w14:paraId="11759E20">
                  <w:pPr>
                    <w:jc w:val="center"/>
                    <w:rPr>
                      <w:rFonts w:hint="eastAsia" w:eastAsia="宋体"/>
                      <w:bCs/>
                      <w:color w:val="auto"/>
                      <w:sz w:val="21"/>
                      <w:szCs w:val="21"/>
                      <w:highlight w:val="none"/>
                      <w:lang w:eastAsia="zh-CN"/>
                    </w:rPr>
                  </w:pPr>
                  <w:r>
                    <w:rPr>
                      <w:rFonts w:hint="eastAsia"/>
                      <w:bCs/>
                      <w:color w:val="auto"/>
                      <w:sz w:val="21"/>
                      <w:szCs w:val="21"/>
                      <w:highlight w:val="none"/>
                      <w:lang w:eastAsia="zh-CN"/>
                    </w:rPr>
                    <w:t>限价</w:t>
                  </w:r>
                </w:p>
              </w:tc>
            </w:tr>
            <w:tr w14:paraId="78670F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trPr>
              <w:tc>
                <w:tcPr>
                  <w:tcW w:w="659" w:type="dxa"/>
                  <w:noWrap w:val="0"/>
                  <w:vAlign w:val="top"/>
                </w:tcPr>
                <w:p w14:paraId="49318333">
                  <w:pPr>
                    <w:jc w:val="center"/>
                    <w:rPr>
                      <w:rFonts w:hint="eastAsia" w:eastAsia="宋体"/>
                      <w:bCs/>
                      <w:color w:val="auto"/>
                      <w:sz w:val="21"/>
                      <w:szCs w:val="21"/>
                      <w:highlight w:val="none"/>
                      <w:lang w:val="en-US" w:eastAsia="zh-CN"/>
                    </w:rPr>
                  </w:pPr>
                  <w:r>
                    <w:rPr>
                      <w:rFonts w:hint="eastAsia"/>
                      <w:bCs/>
                      <w:color w:val="auto"/>
                      <w:sz w:val="21"/>
                      <w:szCs w:val="21"/>
                      <w:highlight w:val="none"/>
                      <w:lang w:val="en-US" w:eastAsia="zh-CN"/>
                    </w:rPr>
                    <w:t>1</w:t>
                  </w:r>
                </w:p>
              </w:tc>
              <w:tc>
                <w:tcPr>
                  <w:tcW w:w="3505" w:type="dxa"/>
                  <w:noWrap w:val="0"/>
                  <w:vAlign w:val="center"/>
                </w:tcPr>
                <w:p w14:paraId="4D4A11F5">
                  <w:pPr>
                    <w:spacing w:line="400" w:lineRule="exact"/>
                    <w:jc w:val="center"/>
                    <w:rPr>
                      <w:rFonts w:hint="eastAsia" w:ascii="宋体" w:hAnsi="宋体" w:eastAsia="宋体" w:cs="宋体"/>
                      <w:b w:val="0"/>
                      <w:bCs w:val="0"/>
                      <w:color w:val="auto"/>
                      <w:kern w:val="0"/>
                      <w:sz w:val="21"/>
                      <w:szCs w:val="21"/>
                      <w:highlight w:val="none"/>
                    </w:rPr>
                  </w:pPr>
                  <w:r>
                    <w:rPr>
                      <w:rFonts w:hint="eastAsia" w:ascii="宋体" w:hAnsi="宋体" w:eastAsia="宋体" w:cs="宋体"/>
                      <w:b w:val="0"/>
                      <w:bCs w:val="0"/>
                      <w:color w:val="auto"/>
                      <w:sz w:val="21"/>
                      <w:szCs w:val="21"/>
                      <w:highlight w:val="none"/>
                    </w:rPr>
                    <w:t>主机</w:t>
                  </w:r>
                </w:p>
              </w:tc>
              <w:tc>
                <w:tcPr>
                  <w:tcW w:w="967" w:type="dxa"/>
                  <w:noWrap w:val="0"/>
                  <w:vAlign w:val="top"/>
                </w:tcPr>
                <w:p w14:paraId="7C36D5D0">
                  <w:pPr>
                    <w:jc w:val="center"/>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1</w:t>
                  </w:r>
                </w:p>
              </w:tc>
              <w:tc>
                <w:tcPr>
                  <w:tcW w:w="1750" w:type="dxa"/>
                  <w:noWrap w:val="0"/>
                  <w:vAlign w:val="center"/>
                </w:tcPr>
                <w:p w14:paraId="2558A0CC">
                  <w:pPr>
                    <w:spacing w:line="400" w:lineRule="exact"/>
                    <w:jc w:val="center"/>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台</w:t>
                  </w:r>
                </w:p>
              </w:tc>
              <w:tc>
                <w:tcPr>
                  <w:tcW w:w="1750" w:type="dxa"/>
                  <w:noWrap w:val="0"/>
                  <w:vAlign w:val="center"/>
                </w:tcPr>
                <w:p w14:paraId="66866C61">
                  <w:pPr>
                    <w:spacing w:line="400" w:lineRule="exact"/>
                    <w:jc w:val="center"/>
                    <w:rPr>
                      <w:rFonts w:hint="eastAsia" w:ascii="宋体" w:hAnsi="宋体" w:eastAsia="宋体" w:cs="宋体"/>
                      <w:b w:val="0"/>
                      <w:bCs w:val="0"/>
                      <w:color w:val="auto"/>
                      <w:sz w:val="21"/>
                      <w:szCs w:val="21"/>
                      <w:highlight w:val="none"/>
                    </w:rPr>
                  </w:pPr>
                </w:p>
              </w:tc>
            </w:tr>
            <w:tr w14:paraId="1A8B20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2" w:hRule="atLeast"/>
              </w:trPr>
              <w:tc>
                <w:tcPr>
                  <w:tcW w:w="659" w:type="dxa"/>
                  <w:noWrap w:val="0"/>
                  <w:vAlign w:val="top"/>
                </w:tcPr>
                <w:p w14:paraId="321F242D">
                  <w:pPr>
                    <w:jc w:val="center"/>
                    <w:rPr>
                      <w:rFonts w:hint="eastAsia" w:eastAsia="宋体"/>
                      <w:bCs/>
                      <w:color w:val="auto"/>
                      <w:sz w:val="21"/>
                      <w:szCs w:val="21"/>
                      <w:highlight w:val="none"/>
                      <w:lang w:val="en-US" w:eastAsia="zh-CN"/>
                    </w:rPr>
                  </w:pPr>
                  <w:r>
                    <w:rPr>
                      <w:rFonts w:hint="eastAsia"/>
                      <w:bCs/>
                      <w:color w:val="auto"/>
                      <w:sz w:val="21"/>
                      <w:szCs w:val="21"/>
                      <w:highlight w:val="none"/>
                      <w:lang w:val="en-US" w:eastAsia="zh-CN"/>
                    </w:rPr>
                    <w:t>2</w:t>
                  </w:r>
                </w:p>
              </w:tc>
              <w:tc>
                <w:tcPr>
                  <w:tcW w:w="3505" w:type="dxa"/>
                  <w:noWrap w:val="0"/>
                  <w:vAlign w:val="center"/>
                </w:tcPr>
                <w:p w14:paraId="0621A053">
                  <w:pPr>
                    <w:jc w:val="center"/>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电源线</w:t>
                  </w:r>
                </w:p>
              </w:tc>
              <w:tc>
                <w:tcPr>
                  <w:tcW w:w="967" w:type="dxa"/>
                  <w:noWrap w:val="0"/>
                  <w:vAlign w:val="center"/>
                </w:tcPr>
                <w:p w14:paraId="75DCB922">
                  <w:pPr>
                    <w:jc w:val="center"/>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1</w:t>
                  </w:r>
                </w:p>
              </w:tc>
              <w:tc>
                <w:tcPr>
                  <w:tcW w:w="1750" w:type="dxa"/>
                  <w:noWrap w:val="0"/>
                  <w:vAlign w:val="center"/>
                </w:tcPr>
                <w:p w14:paraId="2DB0188D">
                  <w:pPr>
                    <w:jc w:val="center"/>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根</w:t>
                  </w:r>
                </w:p>
              </w:tc>
              <w:tc>
                <w:tcPr>
                  <w:tcW w:w="1750" w:type="dxa"/>
                  <w:noWrap w:val="0"/>
                  <w:vAlign w:val="center"/>
                </w:tcPr>
                <w:p w14:paraId="3BF76B83">
                  <w:pPr>
                    <w:jc w:val="center"/>
                    <w:rPr>
                      <w:rFonts w:hint="eastAsia" w:ascii="宋体" w:hAnsi="宋体" w:eastAsia="宋体" w:cs="宋体"/>
                      <w:b w:val="0"/>
                      <w:bCs w:val="0"/>
                      <w:color w:val="auto"/>
                      <w:sz w:val="21"/>
                      <w:szCs w:val="21"/>
                      <w:highlight w:val="none"/>
                    </w:rPr>
                  </w:pPr>
                </w:p>
              </w:tc>
            </w:tr>
            <w:tr w14:paraId="69BCBA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trPr>
              <w:tc>
                <w:tcPr>
                  <w:tcW w:w="659" w:type="dxa"/>
                  <w:noWrap w:val="0"/>
                  <w:vAlign w:val="top"/>
                </w:tcPr>
                <w:p w14:paraId="47D5F13C">
                  <w:pPr>
                    <w:jc w:val="center"/>
                    <w:rPr>
                      <w:rFonts w:hint="eastAsia" w:eastAsia="宋体"/>
                      <w:bCs/>
                      <w:color w:val="auto"/>
                      <w:sz w:val="21"/>
                      <w:szCs w:val="21"/>
                      <w:highlight w:val="none"/>
                      <w:lang w:val="en-US" w:eastAsia="zh-CN"/>
                    </w:rPr>
                  </w:pPr>
                  <w:r>
                    <w:rPr>
                      <w:rFonts w:hint="eastAsia"/>
                      <w:bCs/>
                      <w:color w:val="auto"/>
                      <w:sz w:val="21"/>
                      <w:szCs w:val="21"/>
                      <w:highlight w:val="none"/>
                      <w:lang w:val="en-US" w:eastAsia="zh-CN"/>
                    </w:rPr>
                    <w:t>3</w:t>
                  </w:r>
                </w:p>
              </w:tc>
              <w:tc>
                <w:tcPr>
                  <w:tcW w:w="3505" w:type="dxa"/>
                  <w:noWrap w:val="0"/>
                  <w:vAlign w:val="center"/>
                </w:tcPr>
                <w:p w14:paraId="0BF78DB8">
                  <w:pPr>
                    <w:jc w:val="center"/>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连接数据线</w:t>
                  </w:r>
                </w:p>
              </w:tc>
              <w:tc>
                <w:tcPr>
                  <w:tcW w:w="967" w:type="dxa"/>
                  <w:noWrap w:val="0"/>
                  <w:vAlign w:val="center"/>
                </w:tcPr>
                <w:p w14:paraId="4F4B4896">
                  <w:pPr>
                    <w:jc w:val="center"/>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1</w:t>
                  </w:r>
                </w:p>
              </w:tc>
              <w:tc>
                <w:tcPr>
                  <w:tcW w:w="1750" w:type="dxa"/>
                  <w:noWrap w:val="0"/>
                  <w:vAlign w:val="center"/>
                </w:tcPr>
                <w:p w14:paraId="192C583B">
                  <w:pPr>
                    <w:jc w:val="center"/>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根</w:t>
                  </w:r>
                </w:p>
              </w:tc>
              <w:tc>
                <w:tcPr>
                  <w:tcW w:w="1750" w:type="dxa"/>
                  <w:noWrap w:val="0"/>
                  <w:vAlign w:val="center"/>
                </w:tcPr>
                <w:p w14:paraId="3FBFF363">
                  <w:pPr>
                    <w:jc w:val="center"/>
                    <w:rPr>
                      <w:rFonts w:hint="eastAsia" w:ascii="宋体" w:hAnsi="宋体" w:eastAsia="宋体" w:cs="宋体"/>
                      <w:b w:val="0"/>
                      <w:bCs w:val="0"/>
                      <w:color w:val="auto"/>
                      <w:sz w:val="21"/>
                      <w:szCs w:val="21"/>
                      <w:highlight w:val="none"/>
                    </w:rPr>
                  </w:pPr>
                </w:p>
              </w:tc>
            </w:tr>
            <w:tr w14:paraId="13CD1F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trPr>
              <w:tc>
                <w:tcPr>
                  <w:tcW w:w="659" w:type="dxa"/>
                  <w:noWrap w:val="0"/>
                  <w:vAlign w:val="top"/>
                </w:tcPr>
                <w:p w14:paraId="36EEDDD0">
                  <w:pPr>
                    <w:jc w:val="center"/>
                    <w:rPr>
                      <w:rFonts w:hint="eastAsia" w:eastAsia="宋体"/>
                      <w:bCs/>
                      <w:color w:val="auto"/>
                      <w:sz w:val="21"/>
                      <w:szCs w:val="21"/>
                      <w:highlight w:val="none"/>
                      <w:lang w:val="en-US" w:eastAsia="zh-CN"/>
                    </w:rPr>
                  </w:pPr>
                  <w:r>
                    <w:rPr>
                      <w:rFonts w:hint="eastAsia"/>
                      <w:bCs/>
                      <w:color w:val="auto"/>
                      <w:sz w:val="21"/>
                      <w:szCs w:val="21"/>
                      <w:highlight w:val="none"/>
                      <w:lang w:val="en-US" w:eastAsia="zh-CN"/>
                    </w:rPr>
                    <w:t>4</w:t>
                  </w:r>
                </w:p>
              </w:tc>
              <w:tc>
                <w:tcPr>
                  <w:tcW w:w="3505" w:type="dxa"/>
                  <w:noWrap w:val="0"/>
                  <w:vAlign w:val="center"/>
                </w:tcPr>
                <w:p w14:paraId="2DFC8C26">
                  <w:pPr>
                    <w:jc w:val="center"/>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呼出气分析仪说明书</w:t>
                  </w:r>
                </w:p>
              </w:tc>
              <w:tc>
                <w:tcPr>
                  <w:tcW w:w="967" w:type="dxa"/>
                  <w:noWrap w:val="0"/>
                  <w:vAlign w:val="center"/>
                </w:tcPr>
                <w:p w14:paraId="0448AC4C">
                  <w:pPr>
                    <w:jc w:val="center"/>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1</w:t>
                  </w:r>
                </w:p>
              </w:tc>
              <w:tc>
                <w:tcPr>
                  <w:tcW w:w="1750" w:type="dxa"/>
                  <w:noWrap w:val="0"/>
                  <w:vAlign w:val="center"/>
                </w:tcPr>
                <w:p w14:paraId="6C0BA299">
                  <w:pPr>
                    <w:jc w:val="center"/>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本</w:t>
                  </w:r>
                </w:p>
              </w:tc>
              <w:tc>
                <w:tcPr>
                  <w:tcW w:w="1750" w:type="dxa"/>
                  <w:noWrap w:val="0"/>
                  <w:vAlign w:val="center"/>
                </w:tcPr>
                <w:p w14:paraId="0EF6F529">
                  <w:pPr>
                    <w:jc w:val="center"/>
                    <w:rPr>
                      <w:rFonts w:hint="eastAsia" w:ascii="宋体" w:hAnsi="宋体" w:eastAsia="宋体" w:cs="宋体"/>
                      <w:b w:val="0"/>
                      <w:bCs w:val="0"/>
                      <w:color w:val="auto"/>
                      <w:sz w:val="21"/>
                      <w:szCs w:val="21"/>
                      <w:highlight w:val="none"/>
                    </w:rPr>
                  </w:pPr>
                </w:p>
              </w:tc>
            </w:tr>
            <w:tr w14:paraId="3C8204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trPr>
              <w:tc>
                <w:tcPr>
                  <w:tcW w:w="659" w:type="dxa"/>
                  <w:noWrap w:val="0"/>
                  <w:vAlign w:val="top"/>
                </w:tcPr>
                <w:p w14:paraId="18BDE75B">
                  <w:pPr>
                    <w:jc w:val="center"/>
                    <w:rPr>
                      <w:rFonts w:hint="eastAsia" w:eastAsia="宋体"/>
                      <w:bCs/>
                      <w:color w:val="auto"/>
                      <w:sz w:val="21"/>
                      <w:szCs w:val="21"/>
                      <w:highlight w:val="none"/>
                      <w:lang w:val="en-US" w:eastAsia="zh-CN"/>
                    </w:rPr>
                  </w:pPr>
                  <w:r>
                    <w:rPr>
                      <w:rFonts w:hint="eastAsia"/>
                      <w:bCs/>
                      <w:color w:val="auto"/>
                      <w:sz w:val="21"/>
                      <w:szCs w:val="21"/>
                      <w:highlight w:val="none"/>
                      <w:lang w:val="en-US" w:eastAsia="zh-CN"/>
                    </w:rPr>
                    <w:t>5</w:t>
                  </w:r>
                </w:p>
              </w:tc>
              <w:tc>
                <w:tcPr>
                  <w:tcW w:w="3505" w:type="dxa"/>
                  <w:noWrap w:val="0"/>
                  <w:vAlign w:val="center"/>
                </w:tcPr>
                <w:p w14:paraId="3F6EB106">
                  <w:pPr>
                    <w:jc w:val="center"/>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合格证</w:t>
                  </w:r>
                </w:p>
              </w:tc>
              <w:tc>
                <w:tcPr>
                  <w:tcW w:w="967" w:type="dxa"/>
                  <w:noWrap w:val="0"/>
                  <w:vAlign w:val="center"/>
                </w:tcPr>
                <w:p w14:paraId="123D9E28">
                  <w:pPr>
                    <w:jc w:val="center"/>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1</w:t>
                  </w:r>
                </w:p>
              </w:tc>
              <w:tc>
                <w:tcPr>
                  <w:tcW w:w="1750" w:type="dxa"/>
                  <w:noWrap w:val="0"/>
                  <w:vAlign w:val="center"/>
                </w:tcPr>
                <w:p w14:paraId="60A89F5A">
                  <w:pPr>
                    <w:jc w:val="center"/>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张</w:t>
                  </w:r>
                </w:p>
              </w:tc>
              <w:tc>
                <w:tcPr>
                  <w:tcW w:w="1750" w:type="dxa"/>
                  <w:noWrap w:val="0"/>
                  <w:vAlign w:val="center"/>
                </w:tcPr>
                <w:p w14:paraId="2A4C99E2">
                  <w:pPr>
                    <w:jc w:val="center"/>
                    <w:rPr>
                      <w:rFonts w:hint="eastAsia" w:ascii="宋体" w:hAnsi="宋体" w:eastAsia="宋体" w:cs="宋体"/>
                      <w:b w:val="0"/>
                      <w:bCs w:val="0"/>
                      <w:color w:val="auto"/>
                      <w:sz w:val="21"/>
                      <w:szCs w:val="21"/>
                      <w:highlight w:val="none"/>
                    </w:rPr>
                  </w:pPr>
                </w:p>
              </w:tc>
            </w:tr>
            <w:tr w14:paraId="746E2E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trPr>
              <w:tc>
                <w:tcPr>
                  <w:tcW w:w="659" w:type="dxa"/>
                  <w:noWrap w:val="0"/>
                  <w:vAlign w:val="top"/>
                </w:tcPr>
                <w:p w14:paraId="4A9C0C13">
                  <w:pPr>
                    <w:jc w:val="center"/>
                    <w:rPr>
                      <w:rFonts w:hint="default" w:eastAsia="宋体"/>
                      <w:bCs/>
                      <w:color w:val="auto"/>
                      <w:sz w:val="21"/>
                      <w:szCs w:val="21"/>
                      <w:highlight w:val="none"/>
                      <w:lang w:val="en-US" w:eastAsia="zh-CN"/>
                    </w:rPr>
                  </w:pPr>
                  <w:r>
                    <w:rPr>
                      <w:rFonts w:hint="eastAsia"/>
                      <w:bCs/>
                      <w:color w:val="auto"/>
                      <w:sz w:val="21"/>
                      <w:szCs w:val="21"/>
                      <w:highlight w:val="none"/>
                      <w:lang w:val="en-US" w:eastAsia="zh-CN"/>
                    </w:rPr>
                    <w:t>6</w:t>
                  </w:r>
                </w:p>
              </w:tc>
              <w:tc>
                <w:tcPr>
                  <w:tcW w:w="3505" w:type="dxa"/>
                  <w:noWrap w:val="0"/>
                  <w:vAlign w:val="center"/>
                </w:tcPr>
                <w:p w14:paraId="60DDC94E">
                  <w:pPr>
                    <w:jc w:val="center"/>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随机软件</w:t>
                  </w:r>
                </w:p>
              </w:tc>
              <w:tc>
                <w:tcPr>
                  <w:tcW w:w="967" w:type="dxa"/>
                  <w:noWrap w:val="0"/>
                  <w:vAlign w:val="center"/>
                </w:tcPr>
                <w:p w14:paraId="28BD88E1">
                  <w:pPr>
                    <w:jc w:val="center"/>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1</w:t>
                  </w:r>
                </w:p>
              </w:tc>
              <w:tc>
                <w:tcPr>
                  <w:tcW w:w="1750" w:type="dxa"/>
                  <w:noWrap w:val="0"/>
                  <w:vAlign w:val="center"/>
                </w:tcPr>
                <w:p w14:paraId="4C3CB809">
                  <w:pPr>
                    <w:jc w:val="center"/>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套</w:t>
                  </w:r>
                </w:p>
              </w:tc>
              <w:tc>
                <w:tcPr>
                  <w:tcW w:w="1750" w:type="dxa"/>
                  <w:noWrap w:val="0"/>
                  <w:vAlign w:val="center"/>
                </w:tcPr>
                <w:p w14:paraId="420A53F8">
                  <w:pPr>
                    <w:jc w:val="center"/>
                    <w:rPr>
                      <w:rFonts w:hint="eastAsia" w:ascii="宋体" w:hAnsi="宋体" w:eastAsia="宋体" w:cs="宋体"/>
                      <w:b w:val="0"/>
                      <w:bCs w:val="0"/>
                      <w:color w:val="auto"/>
                      <w:sz w:val="21"/>
                      <w:szCs w:val="21"/>
                      <w:highlight w:val="none"/>
                    </w:rPr>
                  </w:pPr>
                </w:p>
              </w:tc>
            </w:tr>
            <w:tr w14:paraId="305F99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trPr>
              <w:tc>
                <w:tcPr>
                  <w:tcW w:w="659" w:type="dxa"/>
                  <w:noWrap w:val="0"/>
                  <w:vAlign w:val="top"/>
                </w:tcPr>
                <w:p w14:paraId="03A4459E">
                  <w:pPr>
                    <w:jc w:val="center"/>
                    <w:rPr>
                      <w:rFonts w:hint="default"/>
                      <w:bCs/>
                      <w:color w:val="auto"/>
                      <w:sz w:val="21"/>
                      <w:szCs w:val="21"/>
                      <w:highlight w:val="none"/>
                      <w:lang w:val="en-US" w:eastAsia="zh-CN"/>
                    </w:rPr>
                  </w:pPr>
                  <w:r>
                    <w:rPr>
                      <w:rFonts w:hint="eastAsia"/>
                      <w:bCs/>
                      <w:color w:val="auto"/>
                      <w:sz w:val="21"/>
                      <w:szCs w:val="21"/>
                      <w:highlight w:val="none"/>
                      <w:lang w:val="en-US" w:eastAsia="zh-CN"/>
                    </w:rPr>
                    <w:t>7</w:t>
                  </w:r>
                </w:p>
              </w:tc>
              <w:tc>
                <w:tcPr>
                  <w:tcW w:w="3505" w:type="dxa"/>
                  <w:noWrap w:val="0"/>
                  <w:vAlign w:val="center"/>
                </w:tcPr>
                <w:p w14:paraId="41F031A3">
                  <w:pPr>
                    <w:tabs>
                      <w:tab w:val="left" w:pos="927"/>
                    </w:tabs>
                    <w:jc w:val="left"/>
                    <w:rPr>
                      <w:rFonts w:hint="eastAsia" w:ascii="宋体" w:hAnsi="宋体" w:eastAsia="宋体" w:cs="宋体"/>
                      <w:b w:val="0"/>
                      <w:bCs w:val="0"/>
                      <w:sz w:val="21"/>
                      <w:szCs w:val="21"/>
                      <w:highlight w:val="none"/>
                      <w:lang w:eastAsia="zh-CN"/>
                    </w:rPr>
                  </w:pPr>
                  <w:r>
                    <w:rPr>
                      <w:rFonts w:hint="eastAsia" w:ascii="宋体" w:hAnsi="宋体" w:eastAsia="宋体" w:cs="宋体"/>
                      <w:b w:val="0"/>
                      <w:bCs w:val="0"/>
                      <w:sz w:val="21"/>
                      <w:szCs w:val="21"/>
                      <w:highlight w:val="none"/>
                      <w:lang w:eastAsia="zh-CN"/>
                    </w:rPr>
                    <w:tab/>
                  </w:r>
                  <w:r>
                    <w:rPr>
                      <w:rFonts w:hint="eastAsia" w:ascii="宋体" w:hAnsi="宋体" w:eastAsia="宋体" w:cs="宋体"/>
                      <w:b w:val="0"/>
                      <w:bCs w:val="0"/>
                      <w:color w:val="auto"/>
                      <w:sz w:val="21"/>
                      <w:szCs w:val="21"/>
                      <w:highlight w:val="none"/>
                    </w:rPr>
                    <w:t>便携式气体采样泵</w:t>
                  </w:r>
                </w:p>
              </w:tc>
              <w:tc>
                <w:tcPr>
                  <w:tcW w:w="967" w:type="dxa"/>
                  <w:noWrap w:val="0"/>
                  <w:vAlign w:val="center"/>
                </w:tcPr>
                <w:p w14:paraId="3F880B02">
                  <w:pPr>
                    <w:jc w:val="center"/>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1</w:t>
                  </w:r>
                </w:p>
              </w:tc>
              <w:tc>
                <w:tcPr>
                  <w:tcW w:w="1750" w:type="dxa"/>
                  <w:noWrap w:val="0"/>
                  <w:vAlign w:val="center"/>
                </w:tcPr>
                <w:p w14:paraId="02F33490">
                  <w:pPr>
                    <w:jc w:val="center"/>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个</w:t>
                  </w:r>
                </w:p>
              </w:tc>
              <w:tc>
                <w:tcPr>
                  <w:tcW w:w="1750" w:type="dxa"/>
                  <w:noWrap w:val="0"/>
                  <w:vAlign w:val="center"/>
                </w:tcPr>
                <w:p w14:paraId="3E183FC2">
                  <w:pPr>
                    <w:jc w:val="center"/>
                    <w:rPr>
                      <w:rFonts w:hint="eastAsia" w:ascii="宋体" w:hAnsi="宋体" w:eastAsia="宋体" w:cs="宋体"/>
                      <w:b w:val="0"/>
                      <w:bCs w:val="0"/>
                      <w:color w:val="auto"/>
                      <w:sz w:val="21"/>
                      <w:szCs w:val="21"/>
                      <w:highlight w:val="none"/>
                    </w:rPr>
                  </w:pPr>
                </w:p>
              </w:tc>
            </w:tr>
          </w:tbl>
          <w:p w14:paraId="58CBDCEA">
            <w:pPr>
              <w:rPr>
                <w:rFonts w:asciiTheme="minorEastAsia" w:hAnsiTheme="minorEastAsia" w:eastAsiaTheme="minorEastAsia"/>
                <w:color w:val="auto"/>
                <w:szCs w:val="21"/>
                <w:highlight w:val="none"/>
              </w:rPr>
            </w:pPr>
          </w:p>
        </w:tc>
      </w:tr>
      <w:tr w14:paraId="5677E4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48" w:hRule="atLeast"/>
        </w:trPr>
        <w:tc>
          <w:tcPr>
            <w:tcW w:w="426" w:type="dxa"/>
            <w:vAlign w:val="center"/>
          </w:tcPr>
          <w:p w14:paraId="6A443FBA">
            <w:pPr>
              <w:jc w:val="center"/>
              <w:rPr>
                <w:rFonts w:cs="宋体" w:asciiTheme="minorEastAsia" w:hAnsiTheme="minorEastAsia" w:eastAsiaTheme="minorEastAsia"/>
                <w:color w:val="000000" w:themeColor="text1"/>
                <w:kern w:val="0"/>
                <w:szCs w:val="21"/>
                <w:highlight w:val="none"/>
                <w14:textFill>
                  <w14:solidFill>
                    <w14:schemeClr w14:val="tx1"/>
                  </w14:solidFill>
                </w14:textFill>
              </w:rPr>
            </w:pPr>
            <w:r>
              <w:rPr>
                <w:rFonts w:hint="eastAsia" w:cs="宋体" w:asciiTheme="minorEastAsia" w:hAnsiTheme="minorEastAsia" w:eastAsiaTheme="minorEastAsia"/>
                <w:color w:val="000000" w:themeColor="text1"/>
                <w:kern w:val="0"/>
                <w:szCs w:val="21"/>
                <w:highlight w:val="none"/>
                <w14:textFill>
                  <w14:solidFill>
                    <w14:schemeClr w14:val="tx1"/>
                  </w14:solidFill>
                </w14:textFill>
              </w:rPr>
              <w:t>具体技术要求</w:t>
            </w:r>
          </w:p>
        </w:tc>
        <w:tc>
          <w:tcPr>
            <w:tcW w:w="8859" w:type="dxa"/>
            <w:gridSpan w:val="4"/>
          </w:tcPr>
          <w:p w14:paraId="6C6C6C8C">
            <w:pPr>
              <w:pStyle w:val="27"/>
              <w:numPr>
                <w:ilvl w:val="0"/>
                <w:numId w:val="0"/>
              </w:numPr>
              <w:rPr>
                <w:rFonts w:hint="eastAsia"/>
                <w:color w:val="auto"/>
                <w:highlight w:val="none"/>
                <w:lang w:eastAsia="zh-CN"/>
              </w:rPr>
            </w:pPr>
            <w:r>
              <w:rPr>
                <w:rFonts w:hint="eastAsia" w:ascii="Times New Roman" w:hAnsi="Times New Roman" w:eastAsia="宋体" w:cs="Times New Roman"/>
                <w:color w:val="auto"/>
                <w:kern w:val="2"/>
                <w:sz w:val="21"/>
                <w:szCs w:val="24"/>
                <w:highlight w:val="none"/>
                <w:lang w:val="en-US" w:eastAsia="zh-CN" w:bidi="ar-SA"/>
              </w:rPr>
              <w:t>一、</w:t>
            </w:r>
            <w:r>
              <w:rPr>
                <w:rFonts w:hint="eastAsia"/>
                <w:color w:val="auto"/>
                <w:highlight w:val="none"/>
                <w:lang w:eastAsia="zh-CN"/>
              </w:rPr>
              <w:t>（请用</w:t>
            </w:r>
            <w:r>
              <w:rPr>
                <w:rFonts w:hint="eastAsia"/>
                <w:color w:val="auto"/>
                <w:highlight w:val="none"/>
                <w:lang w:val="en-US" w:eastAsia="zh-CN"/>
              </w:rPr>
              <w:t>100字以内描述采购标的物的功能和质量要求，建议在本处明确适用范围、病种范围或使用科室、使用场景等，可参考设备注册证或说明书上适用范围内容。描述不准有品牌倾向性</w:t>
            </w:r>
            <w:r>
              <w:rPr>
                <w:rFonts w:hint="eastAsia"/>
                <w:color w:val="auto"/>
                <w:highlight w:val="none"/>
                <w:lang w:eastAsia="zh-CN"/>
              </w:rPr>
              <w:t>）</w:t>
            </w:r>
          </w:p>
          <w:p w14:paraId="7004964B">
            <w:pPr>
              <w:pStyle w:val="27"/>
              <w:numPr>
                <w:ilvl w:val="0"/>
                <w:numId w:val="0"/>
              </w:numPr>
              <w:ind w:firstLine="420" w:firstLineChars="200"/>
              <w:rPr>
                <w:rFonts w:hint="eastAsia"/>
                <w:color w:val="auto"/>
                <w:highlight w:val="none"/>
                <w:u w:val="none"/>
                <w:lang w:val="en-US" w:eastAsia="zh-CN"/>
              </w:rPr>
            </w:pPr>
            <w:r>
              <w:rPr>
                <w:rFonts w:hint="eastAsia"/>
                <w:color w:val="auto"/>
                <w:highlight w:val="none"/>
                <w:u w:val="none"/>
                <w:lang w:val="en-US" w:eastAsia="zh-CN"/>
              </w:rPr>
              <w:t>设备</w:t>
            </w:r>
            <w:r>
              <w:rPr>
                <w:spacing w:val="-6"/>
                <w:highlight w:val="none"/>
                <w:u w:val="none"/>
              </w:rPr>
              <w:t>适用于红细胞寿命测定以及检测人体呼出气中氢气（H</w:t>
            </w:r>
            <w:r>
              <w:rPr>
                <w:spacing w:val="-6"/>
                <w:position w:val="-3"/>
                <w:sz w:val="12"/>
                <w:szCs w:val="12"/>
                <w:highlight w:val="none"/>
                <w:u w:val="none"/>
              </w:rPr>
              <w:t>2</w:t>
            </w:r>
            <w:r>
              <w:rPr>
                <w:spacing w:val="-6"/>
                <w:highlight w:val="none"/>
                <w:u w:val="none"/>
              </w:rPr>
              <w:t>）、甲烷（CH</w:t>
            </w:r>
            <w:r>
              <w:rPr>
                <w:spacing w:val="-6"/>
                <w:position w:val="-3"/>
                <w:sz w:val="12"/>
                <w:szCs w:val="12"/>
                <w:highlight w:val="none"/>
                <w:u w:val="none"/>
              </w:rPr>
              <w:t>4</w:t>
            </w:r>
            <w:r>
              <w:rPr>
                <w:spacing w:val="-6"/>
                <w:highlight w:val="none"/>
                <w:u w:val="none"/>
              </w:rPr>
              <w:t>）、</w:t>
            </w:r>
            <w:r>
              <w:rPr>
                <w:rFonts w:hint="eastAsia"/>
                <w:sz w:val="24"/>
                <w:szCs w:val="24"/>
                <w:highlight w:val="none"/>
                <w:u w:val="none"/>
              </w:rPr>
              <w:t>一氧化碳（CO）</w:t>
            </w:r>
            <w:r>
              <w:rPr>
                <w:rFonts w:hint="eastAsia"/>
                <w:sz w:val="24"/>
                <w:szCs w:val="24"/>
                <w:highlight w:val="none"/>
                <w:u w:val="none"/>
                <w:lang w:eastAsia="zh-CN"/>
              </w:rPr>
              <w:t>、</w:t>
            </w:r>
            <w:r>
              <w:rPr>
                <w:spacing w:val="-6"/>
                <w:highlight w:val="none"/>
                <w:u w:val="none"/>
              </w:rPr>
              <w:t>二氧化碳（CO</w:t>
            </w:r>
            <w:r>
              <w:rPr>
                <w:spacing w:val="-6"/>
                <w:position w:val="-3"/>
                <w:sz w:val="12"/>
                <w:szCs w:val="12"/>
                <w:highlight w:val="none"/>
                <w:u w:val="none"/>
              </w:rPr>
              <w:t>2</w:t>
            </w:r>
            <w:r>
              <w:rPr>
                <w:spacing w:val="-17"/>
                <w:position w:val="-3"/>
                <w:sz w:val="12"/>
                <w:szCs w:val="12"/>
                <w:highlight w:val="none"/>
                <w:u w:val="none"/>
              </w:rPr>
              <w:t xml:space="preserve"> </w:t>
            </w:r>
            <w:r>
              <w:rPr>
                <w:spacing w:val="-6"/>
                <w:highlight w:val="none"/>
                <w:u w:val="none"/>
              </w:rPr>
              <w:t>）的浓度。</w:t>
            </w:r>
            <w:r>
              <w:rPr>
                <w:rFonts w:hint="eastAsia"/>
                <w:color w:val="auto"/>
                <w:highlight w:val="none"/>
                <w:u w:val="none"/>
                <w:lang w:val="en-US" w:eastAsia="zh-CN"/>
              </w:rPr>
              <w:t>是一种非侵入性、便捷且经济的呼气诊断手段，主要应用于健康体检人群功能性胃肠疾病（如小肠细菌过度生长SIBO、肠道甲烷菌过生长IMO以及各种功能性胃肠病等）及红细胞寿命的筛查和诊断。与传统方法相比，呼气试验无痛、无创、快速、便捷、对使用科室没有特殊场地和人员资质要求，适用人群广泛，是健康体检在肠道功能性诊断不可缺少的项目，可填补健康体检肠道功能诊断的空白，临床意义及经济价值好。</w:t>
            </w:r>
          </w:p>
          <w:p w14:paraId="7FFB5331">
            <w:pPr>
              <w:pStyle w:val="27"/>
              <w:numPr>
                <w:ilvl w:val="0"/>
                <w:numId w:val="0"/>
              </w:numPr>
              <w:ind w:firstLine="420" w:firstLineChars="200"/>
              <w:rPr>
                <w:rFonts w:hint="eastAsia"/>
                <w:color w:val="auto"/>
                <w:highlight w:val="none"/>
                <w:u w:val="none"/>
                <w:lang w:val="en-US" w:eastAsia="zh-CN"/>
              </w:rPr>
            </w:pPr>
          </w:p>
          <w:p w14:paraId="38F13E7F">
            <w:pPr>
              <w:numPr>
                <w:ilvl w:val="0"/>
                <w:numId w:val="0"/>
              </w:numPr>
              <w:tabs>
                <w:tab w:val="left" w:pos="540"/>
              </w:tabs>
              <w:adjustRightInd w:val="0"/>
              <w:snapToGrid w:val="0"/>
              <w:spacing w:line="360" w:lineRule="auto"/>
              <w:ind w:leftChars="0"/>
              <w:rPr>
                <w:rFonts w:ascii="宋体" w:hAnsi="宋体" w:cs="宋体"/>
                <w:kern w:val="0"/>
                <w:szCs w:val="21"/>
                <w:highlight w:val="none"/>
              </w:rPr>
            </w:pPr>
            <w:r>
              <w:rPr>
                <w:rFonts w:hint="eastAsia" w:ascii="宋体" w:hAnsi="宋体" w:cs="宋体"/>
                <w:kern w:val="0"/>
                <w:szCs w:val="21"/>
                <w:highlight w:val="none"/>
                <w:lang w:eastAsia="zh-CN"/>
              </w:rPr>
              <w:t>二、</w:t>
            </w:r>
            <w:r>
              <w:rPr>
                <w:rFonts w:hint="eastAsia" w:ascii="宋体" w:hAnsi="宋体" w:cs="宋体"/>
                <w:kern w:val="0"/>
                <w:szCs w:val="21"/>
                <w:highlight w:val="none"/>
              </w:rPr>
              <w:t>投标人拟投产品符合政府采购政策的，投标人须按招标文件要求提供相关的证明材料。</w:t>
            </w:r>
          </w:p>
          <w:p w14:paraId="15F4CD50">
            <w:pPr>
              <w:numPr>
                <w:ilvl w:val="0"/>
                <w:numId w:val="0"/>
              </w:numPr>
              <w:tabs>
                <w:tab w:val="left" w:pos="540"/>
              </w:tabs>
              <w:adjustRightInd w:val="0"/>
              <w:snapToGrid w:val="0"/>
              <w:spacing w:line="360" w:lineRule="auto"/>
              <w:ind w:leftChars="0"/>
              <w:rPr>
                <w:rFonts w:ascii="宋体" w:hAnsi="宋体" w:cs="宋体"/>
                <w:kern w:val="0"/>
                <w:szCs w:val="21"/>
                <w:highlight w:val="none"/>
              </w:rPr>
            </w:pPr>
            <w:r>
              <w:rPr>
                <w:rFonts w:hint="eastAsia" w:ascii="宋体" w:hAnsi="宋体" w:cs="宋体"/>
                <w:kern w:val="0"/>
                <w:szCs w:val="21"/>
                <w:highlight w:val="none"/>
                <w:lang w:eastAsia="zh-CN"/>
              </w:rPr>
              <w:t>三、</w:t>
            </w:r>
            <w:r>
              <w:rPr>
                <w:rFonts w:ascii="宋体" w:hAnsi="宋体" w:cs="宋体"/>
                <w:kern w:val="0"/>
                <w:szCs w:val="21"/>
                <w:highlight w:val="none"/>
              </w:rPr>
              <w:t>投标人拟投产品必须符合</w:t>
            </w:r>
            <w:r>
              <w:rPr>
                <w:rFonts w:hint="eastAsia" w:ascii="宋体" w:hAnsi="宋体" w:cs="宋体"/>
                <w:kern w:val="0"/>
                <w:szCs w:val="21"/>
                <w:highlight w:val="none"/>
              </w:rPr>
              <w:t>国家相关标准、行业标准、地方标准或者其他标准、规范；</w:t>
            </w:r>
          </w:p>
          <w:p w14:paraId="5424EFBF">
            <w:pPr>
              <w:numPr>
                <w:ilvl w:val="0"/>
                <w:numId w:val="0"/>
              </w:numPr>
              <w:tabs>
                <w:tab w:val="left" w:pos="540"/>
              </w:tabs>
              <w:adjustRightInd w:val="0"/>
              <w:snapToGrid w:val="0"/>
              <w:spacing w:line="360" w:lineRule="auto"/>
              <w:ind w:leftChars="0"/>
              <w:rPr>
                <w:highlight w:val="none"/>
              </w:rPr>
            </w:pPr>
            <w:r>
              <w:rPr>
                <w:rFonts w:hint="eastAsia" w:ascii="宋体" w:hAnsi="宋体" w:cs="Courier New"/>
                <w:szCs w:val="21"/>
                <w:highlight w:val="none"/>
                <w:lang w:eastAsia="zh-CN"/>
              </w:rPr>
              <w:t>四、</w:t>
            </w:r>
            <w:r>
              <w:rPr>
                <w:rFonts w:hint="eastAsia" w:ascii="宋体" w:hAnsi="宋体" w:cs="Courier New"/>
                <w:szCs w:val="21"/>
                <w:highlight w:val="none"/>
              </w:rPr>
              <w:t>如检验检测的事项属于法律、行政法规规定应当取得市场监督管理部门资质认定事项的，出具该报告的检验检测机构应当依法取得市场监督管理部门资质认定，在资质认定证书规定的能力范围内出具检验检测报告，并在报告上标注资质认定标志（CMA）。如法律、行政法规对检验检测机构资质认定另有规定的（如医疗器械类的检验检测），应依照相关法律、行政法规的规定在评审准则中予以明确报告是否需要特定资质认定标志。</w:t>
            </w:r>
          </w:p>
          <w:p w14:paraId="21EB99B5">
            <w:pPr>
              <w:keepNext w:val="0"/>
              <w:keepLines w:val="0"/>
              <w:suppressLineNumbers w:val="0"/>
              <w:autoSpaceDE w:val="0"/>
              <w:autoSpaceDN w:val="0"/>
              <w:adjustRightInd w:val="0"/>
              <w:spacing w:before="0" w:beforeAutospacing="0" w:after="0" w:afterAutospacing="0"/>
              <w:ind w:left="0" w:right="0" w:firstLine="525" w:firstLineChars="250"/>
              <w:jc w:val="left"/>
              <w:rPr>
                <w:rFonts w:hint="eastAsia" w:ascii="宋体" w:hAnsi="宋体" w:eastAsia="宋体" w:cs="宋体"/>
                <w:kern w:val="0"/>
                <w:sz w:val="21"/>
                <w:szCs w:val="21"/>
                <w:highlight w:val="none"/>
              </w:rPr>
            </w:pPr>
            <w:r>
              <w:rPr>
                <w:rFonts w:hint="eastAsia" w:ascii="宋体" w:hAnsi="宋体" w:eastAsia="宋体" w:cs="宋体"/>
                <w:bCs/>
                <w:kern w:val="0"/>
                <w:sz w:val="21"/>
                <w:szCs w:val="21"/>
                <w:highlight w:val="none"/>
              </w:rPr>
              <w:t>备注</w:t>
            </w:r>
            <w:r>
              <w:rPr>
                <w:rFonts w:hint="eastAsia" w:ascii="宋体" w:hAnsi="宋体" w:eastAsia="宋体" w:cs="宋体"/>
                <w:kern w:val="0"/>
                <w:sz w:val="21"/>
                <w:szCs w:val="21"/>
                <w:highlight w:val="none"/>
              </w:rPr>
              <w:t>：</w:t>
            </w:r>
          </w:p>
          <w:p w14:paraId="3529B040">
            <w:pPr>
              <w:keepNext w:val="0"/>
              <w:keepLines w:val="0"/>
              <w:suppressLineNumbers w:val="0"/>
              <w:autoSpaceDE w:val="0"/>
              <w:autoSpaceDN w:val="0"/>
              <w:adjustRightInd w:val="0"/>
              <w:spacing w:before="0" w:beforeAutospacing="0" w:after="0" w:afterAutospacing="0"/>
              <w:ind w:left="0" w:right="0" w:firstLine="525" w:firstLineChars="250"/>
              <w:jc w:val="left"/>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1、投标人须提供上表所列产品，在规定的时间内送至指定地点参与评分。</w:t>
            </w:r>
          </w:p>
          <w:p w14:paraId="7C4E6A2B">
            <w:pPr>
              <w:keepNext w:val="0"/>
              <w:keepLines w:val="0"/>
              <w:suppressLineNumbers w:val="0"/>
              <w:autoSpaceDE w:val="0"/>
              <w:autoSpaceDN w:val="0"/>
              <w:adjustRightInd w:val="0"/>
              <w:spacing w:before="0" w:beforeAutospacing="0" w:after="0" w:afterAutospacing="0"/>
              <w:ind w:left="0" w:right="0" w:firstLine="525" w:firstLineChars="250"/>
              <w:jc w:val="left"/>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2、样品与《实质性响应条款偏离表》中对应的投标内容存在不符的，评委会可根据情况视为《实质性响应条款偏离表》填写不实，初审不通过。</w:t>
            </w:r>
          </w:p>
          <w:p w14:paraId="25217E6F">
            <w:pPr>
              <w:keepNext w:val="0"/>
              <w:keepLines w:val="0"/>
              <w:suppressLineNumbers w:val="0"/>
              <w:autoSpaceDE w:val="0"/>
              <w:autoSpaceDN w:val="0"/>
              <w:adjustRightInd w:val="0"/>
              <w:spacing w:before="0" w:beforeAutospacing="0" w:after="0" w:afterAutospacing="0"/>
              <w:ind w:left="0" w:right="0" w:firstLine="525" w:firstLineChars="250"/>
              <w:jc w:val="left"/>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3、材料样品将作为履约验收的参考。</w:t>
            </w:r>
          </w:p>
          <w:p w14:paraId="27200649">
            <w:pPr>
              <w:ind w:firstLine="422" w:firstLineChars="200"/>
              <w:rPr>
                <w:rFonts w:hint="eastAsia" w:asciiTheme="minorEastAsia" w:hAnsiTheme="minorEastAsia" w:eastAsiaTheme="minorEastAsia"/>
                <w:b/>
                <w:szCs w:val="21"/>
                <w:highlight w:val="none"/>
              </w:rPr>
            </w:pPr>
          </w:p>
          <w:p w14:paraId="019309C9">
            <w:pPr>
              <w:rPr>
                <w:rFonts w:asciiTheme="minorEastAsia" w:hAnsiTheme="minorEastAsia" w:eastAsiaTheme="minorEastAsia"/>
                <w:b/>
                <w:szCs w:val="21"/>
                <w:highlight w:val="none"/>
              </w:rPr>
            </w:pPr>
            <w:r>
              <w:rPr>
                <w:rFonts w:hint="eastAsia" w:asciiTheme="minorEastAsia" w:hAnsiTheme="minorEastAsia" w:eastAsiaTheme="minorEastAsia"/>
                <w:b/>
                <w:szCs w:val="21"/>
                <w:highlight w:val="none"/>
              </w:rPr>
              <w:t>说明：</w:t>
            </w:r>
            <w:r>
              <w:rPr>
                <w:rFonts w:hint="eastAsia" w:asciiTheme="minorEastAsia" w:hAnsiTheme="minorEastAsia" w:eastAsiaTheme="minorEastAsia"/>
                <w:b/>
                <w:color w:val="auto"/>
                <w:szCs w:val="21"/>
                <w:highlight w:val="none"/>
              </w:rPr>
              <w:t>1、带“</w:t>
            </w:r>
            <w:r>
              <w:rPr>
                <w:rFonts w:asciiTheme="minorEastAsia" w:hAnsiTheme="minorEastAsia" w:eastAsiaTheme="minorEastAsia"/>
                <w:color w:val="auto"/>
                <w:szCs w:val="21"/>
                <w:highlight w:val="none"/>
              </w:rPr>
              <w:t>▲</w:t>
            </w:r>
            <w:r>
              <w:rPr>
                <w:rFonts w:hint="eastAsia" w:asciiTheme="minorEastAsia" w:hAnsiTheme="minorEastAsia" w:eastAsiaTheme="minorEastAsia"/>
                <w:b/>
                <w:color w:val="auto"/>
                <w:szCs w:val="21"/>
                <w:highlight w:val="none"/>
              </w:rPr>
              <w:t xml:space="preserve">”指标项为重要参数，负偏离时依相关评分准则内容作重点扣分处理。 </w:t>
            </w:r>
          </w:p>
          <w:p w14:paraId="56D5E2D2">
            <w:pPr>
              <w:ind w:firstLine="632" w:firstLineChars="300"/>
              <w:rPr>
                <w:rFonts w:asciiTheme="minorEastAsia" w:hAnsiTheme="minorEastAsia" w:eastAsiaTheme="minorEastAsia"/>
                <w:b/>
                <w:szCs w:val="21"/>
                <w:highlight w:val="none"/>
              </w:rPr>
            </w:pPr>
            <w:r>
              <w:rPr>
                <w:rFonts w:hint="eastAsia" w:asciiTheme="minorEastAsia" w:hAnsiTheme="minorEastAsia" w:eastAsiaTheme="minorEastAsia"/>
                <w:b/>
                <w:szCs w:val="21"/>
                <w:highlight w:val="none"/>
              </w:rPr>
              <w:t>2、技术要求中，用红色加粗字体标注的技术条款为要求提供证明资料的条款，共</w:t>
            </w:r>
            <w:r>
              <w:rPr>
                <w:rFonts w:hint="eastAsia" w:asciiTheme="minorEastAsia" w:hAnsiTheme="minorEastAsia" w:eastAsiaTheme="minorEastAsia"/>
                <w:b/>
                <w:szCs w:val="21"/>
                <w:highlight w:val="none"/>
                <w:u w:val="single"/>
                <w:lang w:val="en-US" w:eastAsia="zh-CN"/>
              </w:rPr>
              <w:t>2</w:t>
            </w:r>
            <w:r>
              <w:rPr>
                <w:rFonts w:hint="eastAsia" w:asciiTheme="minorEastAsia" w:hAnsiTheme="minorEastAsia" w:eastAsiaTheme="minorEastAsia"/>
                <w:b/>
                <w:szCs w:val="21"/>
                <w:highlight w:val="none"/>
              </w:rPr>
              <w:t>项，其余为未要求提供证明资料的条款，无需提供相关证明资料。</w:t>
            </w:r>
          </w:p>
          <w:p w14:paraId="494EA924">
            <w:pPr>
              <w:ind w:firstLine="632" w:firstLineChars="300"/>
              <w:rPr>
                <w:rFonts w:hint="eastAsia" w:asciiTheme="minorEastAsia" w:hAnsiTheme="minorEastAsia" w:eastAsiaTheme="minorEastAsia"/>
                <w:b/>
                <w:szCs w:val="21"/>
                <w:highlight w:val="none"/>
              </w:rPr>
            </w:pPr>
            <w:r>
              <w:rPr>
                <w:rFonts w:hint="eastAsia" w:asciiTheme="minorEastAsia" w:hAnsiTheme="minorEastAsia" w:eastAsiaTheme="minorEastAsia"/>
                <w:b/>
                <w:szCs w:val="21"/>
                <w:highlight w:val="none"/>
              </w:rPr>
              <w:t>3、评分时，如对一项招标技术要求（以划分框为准）中的内容存在两处（或以上）负偏离的，在评分时只作一项负偏离扣分。</w:t>
            </w:r>
          </w:p>
          <w:tbl>
            <w:tblPr>
              <w:tblStyle w:val="16"/>
              <w:tblpPr w:leftFromText="180" w:rightFromText="180" w:vertAnchor="text" w:horzAnchor="page" w:tblpX="258" w:tblpY="149"/>
              <w:tblOverlap w:val="never"/>
              <w:tblW w:w="841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45"/>
              <w:gridCol w:w="6874"/>
            </w:tblGrid>
            <w:tr w14:paraId="0FB9F3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6" w:hRule="atLeast"/>
              </w:trPr>
              <w:tc>
                <w:tcPr>
                  <w:tcW w:w="1545" w:type="dxa"/>
                  <w:tcBorders>
                    <w:top w:val="single" w:color="auto" w:sz="4" w:space="0"/>
                    <w:left w:val="single" w:color="auto" w:sz="4" w:space="0"/>
                    <w:bottom w:val="single" w:color="auto" w:sz="4" w:space="0"/>
                    <w:right w:val="single" w:color="auto" w:sz="4" w:space="0"/>
                  </w:tcBorders>
                  <w:noWrap w:val="0"/>
                  <w:vAlign w:val="center"/>
                </w:tcPr>
                <w:p w14:paraId="33FDE0F7">
                  <w:pPr>
                    <w:keepNext w:val="0"/>
                    <w:keepLines w:val="0"/>
                    <w:suppressLineNumbers w:val="0"/>
                    <w:autoSpaceDE w:val="0"/>
                    <w:autoSpaceDN w:val="0"/>
                    <w:adjustRightInd w:val="0"/>
                    <w:spacing w:before="0" w:beforeAutospacing="0" w:after="0" w:afterAutospacing="0"/>
                    <w:ind w:right="0"/>
                    <w:jc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eastAsia="zh-CN"/>
                    </w:rPr>
                    <w:t>设备</w:t>
                  </w:r>
                  <w:r>
                    <w:rPr>
                      <w:rFonts w:hint="eastAsia" w:ascii="宋体" w:hAnsi="宋体" w:eastAsia="宋体" w:cs="宋体"/>
                      <w:color w:val="auto"/>
                      <w:kern w:val="0"/>
                      <w:sz w:val="21"/>
                      <w:szCs w:val="21"/>
                      <w:highlight w:val="none"/>
                    </w:rPr>
                    <w:t>名称</w:t>
                  </w:r>
                </w:p>
              </w:tc>
              <w:tc>
                <w:tcPr>
                  <w:tcW w:w="6874" w:type="dxa"/>
                  <w:tcBorders>
                    <w:top w:val="single" w:color="auto" w:sz="4" w:space="0"/>
                    <w:left w:val="single" w:color="auto" w:sz="4" w:space="0"/>
                    <w:bottom w:val="single" w:color="auto" w:sz="4" w:space="0"/>
                    <w:right w:val="single" w:color="auto" w:sz="4" w:space="0"/>
                  </w:tcBorders>
                  <w:noWrap w:val="0"/>
                  <w:vAlign w:val="center"/>
                </w:tcPr>
                <w:p w14:paraId="18ADB83A">
                  <w:pPr>
                    <w:keepNext w:val="0"/>
                    <w:keepLines w:val="0"/>
                    <w:suppressLineNumbers w:val="0"/>
                    <w:autoSpaceDE w:val="0"/>
                    <w:autoSpaceDN w:val="0"/>
                    <w:adjustRightInd w:val="0"/>
                    <w:spacing w:before="0" w:beforeAutospacing="0" w:after="0" w:afterAutospacing="0"/>
                    <w:ind w:left="0" w:right="0" w:firstLine="525" w:firstLineChars="250"/>
                    <w:jc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招标技术要求</w:t>
                  </w:r>
                </w:p>
              </w:tc>
            </w:tr>
            <w:tr w14:paraId="65BC1F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trPr>
              <w:tc>
                <w:tcPr>
                  <w:tcW w:w="1545" w:type="dxa"/>
                  <w:vMerge w:val="restart"/>
                  <w:tcBorders>
                    <w:top w:val="single" w:color="auto" w:sz="4" w:space="0"/>
                    <w:left w:val="single" w:color="auto" w:sz="4" w:space="0"/>
                    <w:right w:val="single" w:color="auto" w:sz="4" w:space="0"/>
                  </w:tcBorders>
                  <w:noWrap w:val="0"/>
                  <w:vAlign w:val="center"/>
                </w:tcPr>
                <w:p w14:paraId="62BE6FEA">
                  <w:pPr>
                    <w:keepNext w:val="0"/>
                    <w:keepLines w:val="0"/>
                    <w:suppressLineNumbers w:val="0"/>
                    <w:autoSpaceDE w:val="0"/>
                    <w:autoSpaceDN w:val="0"/>
                    <w:adjustRightInd w:val="0"/>
                    <w:spacing w:before="0" w:beforeAutospacing="0" w:after="0" w:afterAutospacing="0"/>
                    <w:ind w:right="0"/>
                    <w:jc w:val="left"/>
                    <w:rPr>
                      <w:rFonts w:hint="default"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呼出气分析仪</w:t>
                  </w:r>
                </w:p>
              </w:tc>
              <w:tc>
                <w:tcPr>
                  <w:tcW w:w="6874" w:type="dxa"/>
                  <w:tcBorders>
                    <w:top w:val="single" w:color="auto" w:sz="4" w:space="0"/>
                    <w:left w:val="single" w:color="auto" w:sz="4" w:space="0"/>
                    <w:bottom w:val="single" w:color="auto" w:sz="4" w:space="0"/>
                    <w:right w:val="single" w:color="auto" w:sz="4" w:space="0"/>
                  </w:tcBorders>
                  <w:noWrap w:val="0"/>
                  <w:vAlign w:val="top"/>
                </w:tcPr>
                <w:p w14:paraId="2EAB291B">
                  <w:pPr>
                    <w:keepNext w:val="0"/>
                    <w:keepLines w:val="0"/>
                    <w:suppressLineNumbers w:val="0"/>
                    <w:autoSpaceDE w:val="0"/>
                    <w:autoSpaceDN w:val="0"/>
                    <w:adjustRightInd w:val="0"/>
                    <w:spacing w:before="0" w:beforeAutospacing="0" w:after="0" w:afterAutospacing="0"/>
                    <w:ind w:right="0"/>
                    <w:jc w:val="left"/>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1、适用范围：适用于红细胞寿命测定以及检测人体呼出气中氢气（H2）、甲烷（CH4）、二氧化碳（CO2 ）的浓度。</w:t>
                  </w:r>
                </w:p>
              </w:tc>
            </w:tr>
            <w:tr w14:paraId="2D869A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trPr>
              <w:tc>
                <w:tcPr>
                  <w:tcW w:w="1545" w:type="dxa"/>
                  <w:vMerge w:val="continue"/>
                  <w:tcBorders>
                    <w:left w:val="single" w:color="auto" w:sz="4" w:space="0"/>
                    <w:right w:val="single" w:color="auto" w:sz="4" w:space="0"/>
                  </w:tcBorders>
                  <w:noWrap w:val="0"/>
                  <w:vAlign w:val="center"/>
                </w:tcPr>
                <w:p w14:paraId="2E2FF2E6">
                  <w:pPr>
                    <w:keepNext w:val="0"/>
                    <w:keepLines w:val="0"/>
                    <w:suppressLineNumbers w:val="0"/>
                    <w:autoSpaceDE w:val="0"/>
                    <w:autoSpaceDN w:val="0"/>
                    <w:adjustRightInd w:val="0"/>
                    <w:spacing w:before="0" w:beforeAutospacing="0" w:after="0" w:afterAutospacing="0"/>
                    <w:ind w:left="0" w:right="0" w:firstLine="525" w:firstLineChars="250"/>
                    <w:jc w:val="left"/>
                    <w:rPr>
                      <w:rFonts w:hint="eastAsia" w:ascii="宋体" w:hAnsi="宋体" w:eastAsia="宋体" w:cs="宋体"/>
                      <w:color w:val="auto"/>
                      <w:kern w:val="0"/>
                      <w:sz w:val="21"/>
                      <w:szCs w:val="21"/>
                      <w:highlight w:val="none"/>
                    </w:rPr>
                  </w:pPr>
                </w:p>
              </w:tc>
              <w:tc>
                <w:tcPr>
                  <w:tcW w:w="6874" w:type="dxa"/>
                  <w:tcBorders>
                    <w:top w:val="single" w:color="auto" w:sz="4" w:space="0"/>
                    <w:left w:val="single" w:color="auto" w:sz="4" w:space="0"/>
                    <w:bottom w:val="single" w:color="auto" w:sz="4" w:space="0"/>
                    <w:right w:val="single" w:color="auto" w:sz="4" w:space="0"/>
                  </w:tcBorders>
                  <w:noWrap w:val="0"/>
                  <w:vAlign w:val="top"/>
                </w:tcPr>
                <w:p w14:paraId="7448233B">
                  <w:pPr>
                    <w:keepNext w:val="0"/>
                    <w:keepLines w:val="0"/>
                    <w:suppressLineNumbers w:val="0"/>
                    <w:autoSpaceDE w:val="0"/>
                    <w:autoSpaceDN w:val="0"/>
                    <w:adjustRightInd w:val="0"/>
                    <w:spacing w:before="0" w:beforeAutospacing="0" w:after="0" w:afterAutospacing="0"/>
                    <w:ind w:right="0"/>
                    <w:jc w:val="left"/>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2、测量原理：通过气相色谱技术检测人体呼出气中的特定气体成分浓度，根据医学诊断阈值判断是否存在匹配的阳性适应症。</w:t>
                  </w:r>
                </w:p>
              </w:tc>
            </w:tr>
            <w:tr w14:paraId="4768C1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trPr>
              <w:tc>
                <w:tcPr>
                  <w:tcW w:w="1545" w:type="dxa"/>
                  <w:vMerge w:val="continue"/>
                  <w:tcBorders>
                    <w:left w:val="single" w:color="auto" w:sz="4" w:space="0"/>
                    <w:right w:val="single" w:color="auto" w:sz="4" w:space="0"/>
                  </w:tcBorders>
                  <w:noWrap w:val="0"/>
                  <w:vAlign w:val="center"/>
                </w:tcPr>
                <w:p w14:paraId="4201EC6E">
                  <w:pPr>
                    <w:keepNext w:val="0"/>
                    <w:keepLines w:val="0"/>
                    <w:suppressLineNumbers w:val="0"/>
                    <w:autoSpaceDE w:val="0"/>
                    <w:autoSpaceDN w:val="0"/>
                    <w:adjustRightInd w:val="0"/>
                    <w:spacing w:before="0" w:beforeAutospacing="0" w:after="0" w:afterAutospacing="0"/>
                    <w:ind w:left="0" w:right="0" w:firstLine="525" w:firstLineChars="250"/>
                    <w:jc w:val="left"/>
                    <w:rPr>
                      <w:rFonts w:hint="eastAsia" w:ascii="宋体" w:hAnsi="宋体" w:eastAsia="宋体" w:cs="宋体"/>
                      <w:color w:val="auto"/>
                      <w:kern w:val="0"/>
                      <w:sz w:val="21"/>
                      <w:szCs w:val="21"/>
                      <w:highlight w:val="none"/>
                    </w:rPr>
                  </w:pPr>
                </w:p>
              </w:tc>
              <w:tc>
                <w:tcPr>
                  <w:tcW w:w="6874" w:type="dxa"/>
                  <w:tcBorders>
                    <w:top w:val="single" w:color="auto" w:sz="4" w:space="0"/>
                    <w:left w:val="single" w:color="auto" w:sz="4" w:space="0"/>
                    <w:bottom w:val="single" w:color="auto" w:sz="4" w:space="0"/>
                    <w:right w:val="single" w:color="auto" w:sz="4" w:space="0"/>
                  </w:tcBorders>
                  <w:noWrap w:val="0"/>
                  <w:vAlign w:val="top"/>
                </w:tcPr>
                <w:p w14:paraId="5F4B9F27">
                  <w:pPr>
                    <w:keepNext w:val="0"/>
                    <w:keepLines w:val="0"/>
                    <w:suppressLineNumbers w:val="0"/>
                    <w:autoSpaceDE w:val="0"/>
                    <w:autoSpaceDN w:val="0"/>
                    <w:adjustRightInd w:val="0"/>
                    <w:spacing w:before="0" w:beforeAutospacing="0" w:after="0" w:afterAutospacing="0"/>
                    <w:ind w:right="0"/>
                    <w:jc w:val="left"/>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3、检测方式：采集呼出气及环境气后分析。</w:t>
                  </w:r>
                </w:p>
              </w:tc>
            </w:tr>
            <w:tr w14:paraId="3325FB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2" w:hRule="atLeast"/>
              </w:trPr>
              <w:tc>
                <w:tcPr>
                  <w:tcW w:w="1545" w:type="dxa"/>
                  <w:vMerge w:val="continue"/>
                  <w:tcBorders>
                    <w:left w:val="single" w:color="auto" w:sz="4" w:space="0"/>
                    <w:right w:val="single" w:color="auto" w:sz="4" w:space="0"/>
                  </w:tcBorders>
                  <w:noWrap w:val="0"/>
                  <w:vAlign w:val="center"/>
                </w:tcPr>
                <w:p w14:paraId="1332E905">
                  <w:pPr>
                    <w:keepNext w:val="0"/>
                    <w:keepLines w:val="0"/>
                    <w:suppressLineNumbers w:val="0"/>
                    <w:autoSpaceDE w:val="0"/>
                    <w:autoSpaceDN w:val="0"/>
                    <w:adjustRightInd w:val="0"/>
                    <w:spacing w:before="0" w:beforeAutospacing="0" w:after="0" w:afterAutospacing="0"/>
                    <w:ind w:left="0" w:right="0" w:firstLine="525" w:firstLineChars="250"/>
                    <w:jc w:val="left"/>
                    <w:rPr>
                      <w:rFonts w:hint="eastAsia" w:ascii="宋体" w:hAnsi="宋体" w:eastAsia="宋体" w:cs="宋体"/>
                      <w:color w:val="auto"/>
                      <w:kern w:val="0"/>
                      <w:sz w:val="21"/>
                      <w:szCs w:val="21"/>
                      <w:highlight w:val="none"/>
                    </w:rPr>
                  </w:pPr>
                </w:p>
              </w:tc>
              <w:tc>
                <w:tcPr>
                  <w:tcW w:w="6874" w:type="dxa"/>
                  <w:tcBorders>
                    <w:top w:val="single" w:color="auto" w:sz="4" w:space="0"/>
                    <w:left w:val="single" w:color="auto" w:sz="4" w:space="0"/>
                    <w:bottom w:val="single" w:color="auto" w:sz="4" w:space="0"/>
                    <w:right w:val="single" w:color="auto" w:sz="4" w:space="0"/>
                  </w:tcBorders>
                  <w:noWrap w:val="0"/>
                  <w:vAlign w:val="top"/>
                </w:tcPr>
                <w:p w14:paraId="5BF3B19C">
                  <w:pPr>
                    <w:keepNext w:val="0"/>
                    <w:keepLines w:val="0"/>
                    <w:suppressLineNumbers w:val="0"/>
                    <w:autoSpaceDE w:val="0"/>
                    <w:autoSpaceDN w:val="0"/>
                    <w:adjustRightInd w:val="0"/>
                    <w:spacing w:before="0" w:beforeAutospacing="0" w:after="0" w:afterAutospacing="0"/>
                    <w:ind w:right="0"/>
                    <w:jc w:val="left"/>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4、检测成分：呼气及环境空气中的H2 、CH4 、CO2。</w:t>
                  </w:r>
                  <w:r>
                    <w:rPr>
                      <w:rFonts w:hint="eastAsia" w:ascii="宋体" w:hAnsi="宋体" w:eastAsia="宋体" w:cs="宋体"/>
                      <w:color w:val="auto"/>
                      <w:kern w:val="0"/>
                      <w:sz w:val="21"/>
                      <w:szCs w:val="21"/>
                      <w:highlight w:val="none"/>
                      <w:lang w:val="en-US" w:eastAsia="zh-CN"/>
                    </w:rPr>
                    <w:t xml:space="preserve"> </w:t>
                  </w:r>
                </w:p>
              </w:tc>
            </w:tr>
            <w:tr w14:paraId="4205E6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2" w:hRule="atLeast"/>
              </w:trPr>
              <w:tc>
                <w:tcPr>
                  <w:tcW w:w="1545" w:type="dxa"/>
                  <w:vMerge w:val="continue"/>
                  <w:tcBorders>
                    <w:left w:val="single" w:color="auto" w:sz="4" w:space="0"/>
                    <w:right w:val="single" w:color="auto" w:sz="4" w:space="0"/>
                  </w:tcBorders>
                  <w:noWrap w:val="0"/>
                  <w:vAlign w:val="center"/>
                </w:tcPr>
                <w:p w14:paraId="28E5C88F">
                  <w:pPr>
                    <w:keepNext w:val="0"/>
                    <w:keepLines w:val="0"/>
                    <w:suppressLineNumbers w:val="0"/>
                    <w:autoSpaceDE w:val="0"/>
                    <w:autoSpaceDN w:val="0"/>
                    <w:adjustRightInd w:val="0"/>
                    <w:spacing w:before="0" w:beforeAutospacing="0" w:after="0" w:afterAutospacing="0"/>
                    <w:ind w:left="0" w:right="0" w:firstLine="525" w:firstLineChars="250"/>
                    <w:jc w:val="left"/>
                    <w:rPr>
                      <w:rFonts w:hint="eastAsia" w:ascii="宋体" w:hAnsi="宋体" w:eastAsia="宋体" w:cs="宋体"/>
                      <w:color w:val="auto"/>
                      <w:kern w:val="0"/>
                      <w:sz w:val="21"/>
                      <w:szCs w:val="21"/>
                      <w:highlight w:val="none"/>
                    </w:rPr>
                  </w:pPr>
                </w:p>
              </w:tc>
              <w:tc>
                <w:tcPr>
                  <w:tcW w:w="6874" w:type="dxa"/>
                  <w:tcBorders>
                    <w:top w:val="single" w:color="auto" w:sz="4" w:space="0"/>
                    <w:left w:val="single" w:color="auto" w:sz="4" w:space="0"/>
                    <w:bottom w:val="single" w:color="auto" w:sz="4" w:space="0"/>
                    <w:right w:val="single" w:color="auto" w:sz="4" w:space="0"/>
                  </w:tcBorders>
                  <w:noWrap w:val="0"/>
                  <w:vAlign w:val="top"/>
                </w:tcPr>
                <w:p w14:paraId="5B320AB2">
                  <w:pPr>
                    <w:keepNext w:val="0"/>
                    <w:keepLines w:val="0"/>
                    <w:suppressLineNumbers w:val="0"/>
                    <w:autoSpaceDE w:val="0"/>
                    <w:autoSpaceDN w:val="0"/>
                    <w:adjustRightInd w:val="0"/>
                    <w:spacing w:before="0" w:beforeAutospacing="0" w:after="0" w:afterAutospacing="0"/>
                    <w:ind w:right="0"/>
                    <w:jc w:val="left"/>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▲5、测量精密度：H2 、CH4 ≤10%，CO2 ≤5%。</w:t>
                  </w:r>
                </w:p>
              </w:tc>
            </w:tr>
            <w:tr w14:paraId="42B461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trPr>
              <w:tc>
                <w:tcPr>
                  <w:tcW w:w="1545" w:type="dxa"/>
                  <w:vMerge w:val="continue"/>
                  <w:tcBorders>
                    <w:left w:val="single" w:color="auto" w:sz="4" w:space="0"/>
                    <w:right w:val="single" w:color="auto" w:sz="4" w:space="0"/>
                  </w:tcBorders>
                  <w:noWrap w:val="0"/>
                  <w:vAlign w:val="center"/>
                </w:tcPr>
                <w:p w14:paraId="37025676">
                  <w:pPr>
                    <w:keepNext w:val="0"/>
                    <w:keepLines w:val="0"/>
                    <w:suppressLineNumbers w:val="0"/>
                    <w:autoSpaceDE w:val="0"/>
                    <w:autoSpaceDN w:val="0"/>
                    <w:adjustRightInd w:val="0"/>
                    <w:spacing w:before="0" w:beforeAutospacing="0" w:after="0" w:afterAutospacing="0"/>
                    <w:ind w:left="0" w:right="0" w:firstLine="525" w:firstLineChars="250"/>
                    <w:jc w:val="left"/>
                    <w:rPr>
                      <w:rFonts w:hint="eastAsia" w:ascii="宋体" w:hAnsi="宋体" w:eastAsia="宋体" w:cs="宋体"/>
                      <w:color w:val="auto"/>
                      <w:kern w:val="0"/>
                      <w:sz w:val="21"/>
                      <w:szCs w:val="21"/>
                      <w:highlight w:val="none"/>
                    </w:rPr>
                  </w:pPr>
                </w:p>
              </w:tc>
              <w:tc>
                <w:tcPr>
                  <w:tcW w:w="6874" w:type="dxa"/>
                  <w:tcBorders>
                    <w:top w:val="single" w:color="auto" w:sz="4" w:space="0"/>
                    <w:left w:val="single" w:color="auto" w:sz="4" w:space="0"/>
                    <w:bottom w:val="single" w:color="auto" w:sz="4" w:space="0"/>
                    <w:right w:val="single" w:color="auto" w:sz="4" w:space="0"/>
                  </w:tcBorders>
                  <w:noWrap w:val="0"/>
                  <w:vAlign w:val="top"/>
                </w:tcPr>
                <w:p w14:paraId="7AAE2543">
                  <w:pPr>
                    <w:keepNext w:val="0"/>
                    <w:keepLines w:val="0"/>
                    <w:suppressLineNumbers w:val="0"/>
                    <w:autoSpaceDE w:val="0"/>
                    <w:autoSpaceDN w:val="0"/>
                    <w:adjustRightInd w:val="0"/>
                    <w:spacing w:before="0" w:beforeAutospacing="0" w:after="0" w:afterAutospacing="0"/>
                    <w:ind w:right="0"/>
                    <w:jc w:val="left"/>
                    <w:rPr>
                      <w:rFonts w:hint="eastAsia" w:ascii="宋体" w:hAnsi="宋体" w:eastAsia="宋体" w:cs="宋体"/>
                      <w:color w:val="auto"/>
                      <w:kern w:val="0"/>
                      <w:sz w:val="21"/>
                      <w:szCs w:val="21"/>
                      <w:highlight w:val="none"/>
                    </w:rPr>
                  </w:pPr>
                  <w:r>
                    <w:rPr>
                      <w:rFonts w:hint="eastAsia" w:ascii="宋体" w:hAnsi="宋体" w:eastAsia="宋体" w:cs="宋体"/>
                      <w:b/>
                      <w:bCs/>
                      <w:color w:val="auto"/>
                      <w:kern w:val="0"/>
                      <w:sz w:val="21"/>
                      <w:szCs w:val="21"/>
                      <w:highlight w:val="none"/>
                    </w:rPr>
                    <w:t>6、满足最新国家医药行业标准《体外诊断检验系统性能评价方法》相关要求</w:t>
                  </w:r>
                  <w:r>
                    <w:rPr>
                      <w:rFonts w:hint="eastAsia" w:ascii="宋体" w:hAnsi="宋体" w:eastAsia="宋体" w:cs="宋体"/>
                      <w:color w:val="auto"/>
                      <w:kern w:val="0"/>
                      <w:sz w:val="21"/>
                      <w:szCs w:val="21"/>
                      <w:highlight w:val="none"/>
                    </w:rPr>
                    <w:t>。</w:t>
                  </w:r>
                </w:p>
              </w:tc>
            </w:tr>
            <w:tr w14:paraId="331656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trPr>
              <w:tc>
                <w:tcPr>
                  <w:tcW w:w="1545" w:type="dxa"/>
                  <w:vMerge w:val="continue"/>
                  <w:tcBorders>
                    <w:left w:val="single" w:color="auto" w:sz="4" w:space="0"/>
                    <w:right w:val="single" w:color="auto" w:sz="4" w:space="0"/>
                  </w:tcBorders>
                  <w:noWrap w:val="0"/>
                  <w:vAlign w:val="center"/>
                </w:tcPr>
                <w:p w14:paraId="004A01C8">
                  <w:pPr>
                    <w:keepNext w:val="0"/>
                    <w:keepLines w:val="0"/>
                    <w:suppressLineNumbers w:val="0"/>
                    <w:autoSpaceDE w:val="0"/>
                    <w:autoSpaceDN w:val="0"/>
                    <w:adjustRightInd w:val="0"/>
                    <w:spacing w:before="0" w:beforeAutospacing="0" w:after="0" w:afterAutospacing="0"/>
                    <w:ind w:left="0" w:right="0" w:firstLine="525" w:firstLineChars="250"/>
                    <w:jc w:val="left"/>
                    <w:rPr>
                      <w:rFonts w:hint="eastAsia" w:ascii="宋体" w:hAnsi="宋体" w:eastAsia="宋体" w:cs="宋体"/>
                      <w:color w:val="auto"/>
                      <w:kern w:val="0"/>
                      <w:sz w:val="21"/>
                      <w:szCs w:val="21"/>
                      <w:highlight w:val="none"/>
                    </w:rPr>
                  </w:pPr>
                </w:p>
              </w:tc>
              <w:tc>
                <w:tcPr>
                  <w:tcW w:w="6874" w:type="dxa"/>
                  <w:tcBorders>
                    <w:top w:val="single" w:color="auto" w:sz="4" w:space="0"/>
                    <w:left w:val="single" w:color="auto" w:sz="4" w:space="0"/>
                    <w:bottom w:val="single" w:color="auto" w:sz="4" w:space="0"/>
                    <w:right w:val="single" w:color="auto" w:sz="4" w:space="0"/>
                  </w:tcBorders>
                  <w:noWrap w:val="0"/>
                  <w:vAlign w:val="top"/>
                </w:tcPr>
                <w:p w14:paraId="13FC102A">
                  <w:pPr>
                    <w:keepNext w:val="0"/>
                    <w:keepLines w:val="0"/>
                    <w:suppressLineNumbers w:val="0"/>
                    <w:autoSpaceDE w:val="0"/>
                    <w:autoSpaceDN w:val="0"/>
                    <w:adjustRightInd w:val="0"/>
                    <w:spacing w:before="0" w:beforeAutospacing="0" w:after="0" w:afterAutospacing="0"/>
                    <w:ind w:right="0"/>
                    <w:jc w:val="left"/>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7、所有呼气测定成分，均能精确测定环境本底并自带校准算法。</w:t>
                  </w:r>
                </w:p>
              </w:tc>
            </w:tr>
            <w:tr w14:paraId="7056FD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trPr>
              <w:tc>
                <w:tcPr>
                  <w:tcW w:w="1545" w:type="dxa"/>
                  <w:vMerge w:val="continue"/>
                  <w:tcBorders>
                    <w:left w:val="single" w:color="auto" w:sz="4" w:space="0"/>
                    <w:right w:val="single" w:color="auto" w:sz="4" w:space="0"/>
                  </w:tcBorders>
                  <w:noWrap w:val="0"/>
                  <w:vAlign w:val="center"/>
                </w:tcPr>
                <w:p w14:paraId="3BD5EDB8">
                  <w:pPr>
                    <w:keepNext w:val="0"/>
                    <w:keepLines w:val="0"/>
                    <w:suppressLineNumbers w:val="0"/>
                    <w:autoSpaceDE w:val="0"/>
                    <w:autoSpaceDN w:val="0"/>
                    <w:adjustRightInd w:val="0"/>
                    <w:spacing w:before="0" w:beforeAutospacing="0" w:after="0" w:afterAutospacing="0"/>
                    <w:ind w:left="0" w:right="0" w:firstLine="525" w:firstLineChars="250"/>
                    <w:jc w:val="left"/>
                    <w:rPr>
                      <w:rFonts w:hint="eastAsia" w:ascii="宋体" w:hAnsi="宋体" w:eastAsia="宋体" w:cs="宋体"/>
                      <w:color w:val="auto"/>
                      <w:kern w:val="0"/>
                      <w:sz w:val="21"/>
                      <w:szCs w:val="21"/>
                      <w:highlight w:val="none"/>
                    </w:rPr>
                  </w:pPr>
                </w:p>
              </w:tc>
              <w:tc>
                <w:tcPr>
                  <w:tcW w:w="6874" w:type="dxa"/>
                  <w:tcBorders>
                    <w:top w:val="single" w:color="auto" w:sz="4" w:space="0"/>
                    <w:left w:val="single" w:color="auto" w:sz="4" w:space="0"/>
                    <w:bottom w:val="single" w:color="auto" w:sz="4" w:space="0"/>
                    <w:right w:val="single" w:color="auto" w:sz="4" w:space="0"/>
                  </w:tcBorders>
                  <w:noWrap w:val="0"/>
                  <w:vAlign w:val="top"/>
                </w:tcPr>
                <w:p w14:paraId="7C7D89CD">
                  <w:pPr>
                    <w:keepNext w:val="0"/>
                    <w:keepLines w:val="0"/>
                    <w:suppressLineNumbers w:val="0"/>
                    <w:autoSpaceDE w:val="0"/>
                    <w:autoSpaceDN w:val="0"/>
                    <w:adjustRightInd w:val="0"/>
                    <w:spacing w:before="0" w:beforeAutospacing="0" w:after="0" w:afterAutospacing="0"/>
                    <w:ind w:right="0"/>
                    <w:jc w:val="left"/>
                    <w:rPr>
                      <w:rFonts w:hint="eastAsia" w:ascii="宋体" w:hAnsi="宋体" w:eastAsia="宋体" w:cs="宋体"/>
                      <w:color w:val="auto"/>
                      <w:kern w:val="0"/>
                      <w:sz w:val="21"/>
                      <w:szCs w:val="21"/>
                      <w:highlight w:val="none"/>
                      <w:lang w:eastAsia="zh-CN"/>
                    </w:rPr>
                  </w:pPr>
                  <w:r>
                    <w:rPr>
                      <w:rFonts w:hint="eastAsia" w:ascii="宋体" w:hAnsi="宋体" w:eastAsia="宋体" w:cs="宋体"/>
                      <w:color w:val="auto"/>
                      <w:kern w:val="0"/>
                      <w:sz w:val="21"/>
                      <w:szCs w:val="21"/>
                      <w:highlight w:val="none"/>
                    </w:rPr>
                    <w:t>▲8、多进样通道连续测定，至少可以实现2 人的呼气样品连续测定。中间无需更换，无需人工操作</w:t>
                  </w:r>
                  <w:r>
                    <w:rPr>
                      <w:rFonts w:hint="eastAsia" w:ascii="宋体" w:hAnsi="宋体" w:eastAsia="宋体" w:cs="宋体"/>
                      <w:color w:val="auto"/>
                      <w:kern w:val="0"/>
                      <w:sz w:val="21"/>
                      <w:szCs w:val="21"/>
                      <w:highlight w:val="none"/>
                      <w:lang w:eastAsia="zh-CN"/>
                    </w:rPr>
                    <w:t>。</w:t>
                  </w:r>
                </w:p>
              </w:tc>
            </w:tr>
            <w:tr w14:paraId="6F1B9D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trPr>
              <w:tc>
                <w:tcPr>
                  <w:tcW w:w="1545" w:type="dxa"/>
                  <w:vMerge w:val="continue"/>
                  <w:tcBorders>
                    <w:left w:val="single" w:color="auto" w:sz="4" w:space="0"/>
                    <w:right w:val="single" w:color="auto" w:sz="4" w:space="0"/>
                  </w:tcBorders>
                  <w:noWrap w:val="0"/>
                  <w:vAlign w:val="center"/>
                </w:tcPr>
                <w:p w14:paraId="4F18EB87">
                  <w:pPr>
                    <w:keepNext w:val="0"/>
                    <w:keepLines w:val="0"/>
                    <w:suppressLineNumbers w:val="0"/>
                    <w:autoSpaceDE w:val="0"/>
                    <w:autoSpaceDN w:val="0"/>
                    <w:adjustRightInd w:val="0"/>
                    <w:spacing w:before="0" w:beforeAutospacing="0" w:after="0" w:afterAutospacing="0"/>
                    <w:ind w:left="0" w:right="0" w:firstLine="525" w:firstLineChars="250"/>
                    <w:jc w:val="left"/>
                    <w:rPr>
                      <w:rFonts w:hint="eastAsia" w:ascii="宋体" w:hAnsi="宋体" w:eastAsia="宋体" w:cs="宋体"/>
                      <w:color w:val="auto"/>
                      <w:kern w:val="0"/>
                      <w:sz w:val="21"/>
                      <w:szCs w:val="21"/>
                      <w:highlight w:val="none"/>
                    </w:rPr>
                  </w:pPr>
                </w:p>
              </w:tc>
              <w:tc>
                <w:tcPr>
                  <w:tcW w:w="6874" w:type="dxa"/>
                  <w:tcBorders>
                    <w:top w:val="single" w:color="auto" w:sz="4" w:space="0"/>
                    <w:left w:val="single" w:color="auto" w:sz="4" w:space="0"/>
                    <w:bottom w:val="single" w:color="auto" w:sz="4" w:space="0"/>
                    <w:right w:val="single" w:color="auto" w:sz="4" w:space="0"/>
                  </w:tcBorders>
                  <w:noWrap w:val="0"/>
                  <w:vAlign w:val="top"/>
                </w:tcPr>
                <w:p w14:paraId="38443888">
                  <w:pPr>
                    <w:keepNext w:val="0"/>
                    <w:keepLines w:val="0"/>
                    <w:suppressLineNumbers w:val="0"/>
                    <w:autoSpaceDE w:val="0"/>
                    <w:autoSpaceDN w:val="0"/>
                    <w:adjustRightInd w:val="0"/>
                    <w:spacing w:before="0" w:beforeAutospacing="0" w:after="0" w:afterAutospacing="0"/>
                    <w:ind w:right="0"/>
                    <w:jc w:val="left"/>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▲9、仪器样本进样通道≥10 个。</w:t>
                  </w:r>
                </w:p>
              </w:tc>
            </w:tr>
            <w:tr w14:paraId="006708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trPr>
              <w:tc>
                <w:tcPr>
                  <w:tcW w:w="1545" w:type="dxa"/>
                  <w:vMerge w:val="continue"/>
                  <w:tcBorders>
                    <w:left w:val="single" w:color="auto" w:sz="4" w:space="0"/>
                    <w:right w:val="single" w:color="auto" w:sz="4" w:space="0"/>
                  </w:tcBorders>
                  <w:noWrap w:val="0"/>
                  <w:vAlign w:val="center"/>
                </w:tcPr>
                <w:p w14:paraId="6C48D5EC">
                  <w:pPr>
                    <w:keepNext w:val="0"/>
                    <w:keepLines w:val="0"/>
                    <w:suppressLineNumbers w:val="0"/>
                    <w:autoSpaceDE w:val="0"/>
                    <w:autoSpaceDN w:val="0"/>
                    <w:adjustRightInd w:val="0"/>
                    <w:spacing w:before="0" w:beforeAutospacing="0" w:after="0" w:afterAutospacing="0"/>
                    <w:ind w:left="0" w:right="0" w:firstLine="525" w:firstLineChars="250"/>
                    <w:jc w:val="left"/>
                    <w:rPr>
                      <w:rFonts w:hint="eastAsia" w:ascii="宋体" w:hAnsi="宋体" w:eastAsia="宋体" w:cs="宋体"/>
                      <w:color w:val="auto"/>
                      <w:kern w:val="0"/>
                      <w:sz w:val="21"/>
                      <w:szCs w:val="21"/>
                      <w:highlight w:val="none"/>
                    </w:rPr>
                  </w:pPr>
                </w:p>
              </w:tc>
              <w:tc>
                <w:tcPr>
                  <w:tcW w:w="6874" w:type="dxa"/>
                  <w:tcBorders>
                    <w:top w:val="single" w:color="auto" w:sz="4" w:space="0"/>
                    <w:left w:val="single" w:color="auto" w:sz="4" w:space="0"/>
                    <w:bottom w:val="single" w:color="auto" w:sz="4" w:space="0"/>
                    <w:right w:val="single" w:color="auto" w:sz="4" w:space="0"/>
                  </w:tcBorders>
                  <w:noWrap w:val="0"/>
                  <w:vAlign w:val="top"/>
                </w:tcPr>
                <w:p w14:paraId="79149F99">
                  <w:pPr>
                    <w:keepNext w:val="0"/>
                    <w:keepLines w:val="0"/>
                    <w:suppressLineNumbers w:val="0"/>
                    <w:autoSpaceDE w:val="0"/>
                    <w:autoSpaceDN w:val="0"/>
                    <w:adjustRightInd w:val="0"/>
                    <w:spacing w:before="0" w:beforeAutospacing="0" w:after="0" w:afterAutospacing="0"/>
                    <w:ind w:right="0"/>
                    <w:jc w:val="left"/>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10、 自带标气，开机及长时间工作后自动校准。</w:t>
                  </w:r>
                </w:p>
              </w:tc>
            </w:tr>
            <w:tr w14:paraId="4FA488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trPr>
              <w:tc>
                <w:tcPr>
                  <w:tcW w:w="1545" w:type="dxa"/>
                  <w:vMerge w:val="continue"/>
                  <w:tcBorders>
                    <w:left w:val="single" w:color="auto" w:sz="4" w:space="0"/>
                    <w:right w:val="single" w:color="auto" w:sz="4" w:space="0"/>
                  </w:tcBorders>
                  <w:noWrap w:val="0"/>
                  <w:vAlign w:val="center"/>
                </w:tcPr>
                <w:p w14:paraId="2B4BA680">
                  <w:pPr>
                    <w:keepNext w:val="0"/>
                    <w:keepLines w:val="0"/>
                    <w:suppressLineNumbers w:val="0"/>
                    <w:autoSpaceDE w:val="0"/>
                    <w:autoSpaceDN w:val="0"/>
                    <w:adjustRightInd w:val="0"/>
                    <w:spacing w:before="0" w:beforeAutospacing="0" w:after="0" w:afterAutospacing="0"/>
                    <w:ind w:left="0" w:right="0" w:firstLine="525" w:firstLineChars="250"/>
                    <w:jc w:val="left"/>
                    <w:rPr>
                      <w:rFonts w:hint="eastAsia" w:ascii="宋体" w:hAnsi="宋体" w:eastAsia="宋体" w:cs="宋体"/>
                      <w:color w:val="auto"/>
                      <w:kern w:val="0"/>
                      <w:sz w:val="21"/>
                      <w:szCs w:val="21"/>
                      <w:highlight w:val="none"/>
                    </w:rPr>
                  </w:pPr>
                </w:p>
              </w:tc>
              <w:tc>
                <w:tcPr>
                  <w:tcW w:w="6874" w:type="dxa"/>
                  <w:tcBorders>
                    <w:top w:val="single" w:color="auto" w:sz="4" w:space="0"/>
                    <w:left w:val="single" w:color="auto" w:sz="4" w:space="0"/>
                    <w:bottom w:val="single" w:color="auto" w:sz="4" w:space="0"/>
                    <w:right w:val="single" w:color="auto" w:sz="4" w:space="0"/>
                  </w:tcBorders>
                  <w:noWrap w:val="0"/>
                  <w:vAlign w:val="top"/>
                </w:tcPr>
                <w:p w14:paraId="65EC3A0C">
                  <w:pPr>
                    <w:keepNext w:val="0"/>
                    <w:keepLines w:val="0"/>
                    <w:suppressLineNumbers w:val="0"/>
                    <w:autoSpaceDE w:val="0"/>
                    <w:autoSpaceDN w:val="0"/>
                    <w:adjustRightInd w:val="0"/>
                    <w:spacing w:before="0" w:beforeAutospacing="0" w:after="0" w:afterAutospacing="0"/>
                    <w:ind w:right="0"/>
                    <w:jc w:val="left"/>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w:t>
                  </w:r>
                  <w:r>
                    <w:rPr>
                      <w:rFonts w:hint="eastAsia" w:ascii="宋体" w:hAnsi="宋体" w:eastAsia="宋体" w:cs="宋体"/>
                      <w:color w:val="auto"/>
                      <w:kern w:val="0"/>
                      <w:sz w:val="21"/>
                      <w:szCs w:val="21"/>
                      <w:highlight w:val="none"/>
                      <w:lang w:val="en-US" w:eastAsia="zh-CN"/>
                    </w:rPr>
                    <w:t>11</w:t>
                  </w:r>
                  <w:r>
                    <w:rPr>
                      <w:rFonts w:hint="eastAsia" w:ascii="宋体" w:hAnsi="宋体" w:eastAsia="宋体" w:cs="宋体"/>
                      <w:color w:val="auto"/>
                      <w:kern w:val="0"/>
                      <w:sz w:val="21"/>
                      <w:szCs w:val="21"/>
                      <w:highlight w:val="none"/>
                    </w:rPr>
                    <w:t>、可开展空腹氢、甲烷呼气试验，且有国家注册备案的专用空腹氢、甲烷呼气耗材。</w:t>
                  </w:r>
                </w:p>
              </w:tc>
            </w:tr>
            <w:tr w14:paraId="73BD77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trPr>
              <w:tc>
                <w:tcPr>
                  <w:tcW w:w="1545" w:type="dxa"/>
                  <w:vMerge w:val="continue"/>
                  <w:tcBorders>
                    <w:left w:val="single" w:color="auto" w:sz="4" w:space="0"/>
                    <w:right w:val="single" w:color="auto" w:sz="4" w:space="0"/>
                  </w:tcBorders>
                  <w:noWrap w:val="0"/>
                  <w:vAlign w:val="center"/>
                </w:tcPr>
                <w:p w14:paraId="5A3A318F">
                  <w:pPr>
                    <w:keepNext w:val="0"/>
                    <w:keepLines w:val="0"/>
                    <w:suppressLineNumbers w:val="0"/>
                    <w:autoSpaceDE w:val="0"/>
                    <w:autoSpaceDN w:val="0"/>
                    <w:adjustRightInd w:val="0"/>
                    <w:spacing w:before="0" w:beforeAutospacing="0" w:after="0" w:afterAutospacing="0"/>
                    <w:ind w:left="0" w:right="0" w:firstLine="525" w:firstLineChars="250"/>
                    <w:jc w:val="left"/>
                    <w:rPr>
                      <w:rFonts w:hint="eastAsia" w:ascii="宋体" w:hAnsi="宋体" w:eastAsia="宋体" w:cs="宋体"/>
                      <w:color w:val="auto"/>
                      <w:kern w:val="0"/>
                      <w:sz w:val="21"/>
                      <w:szCs w:val="21"/>
                      <w:highlight w:val="none"/>
                    </w:rPr>
                  </w:pPr>
                </w:p>
              </w:tc>
              <w:tc>
                <w:tcPr>
                  <w:tcW w:w="6874" w:type="dxa"/>
                  <w:tcBorders>
                    <w:top w:val="single" w:color="auto" w:sz="4" w:space="0"/>
                    <w:left w:val="single" w:color="auto" w:sz="4" w:space="0"/>
                    <w:bottom w:val="single" w:color="auto" w:sz="4" w:space="0"/>
                    <w:right w:val="single" w:color="auto" w:sz="4" w:space="0"/>
                  </w:tcBorders>
                  <w:noWrap w:val="0"/>
                  <w:vAlign w:val="top"/>
                </w:tcPr>
                <w:p w14:paraId="3833416C">
                  <w:pPr>
                    <w:keepNext w:val="0"/>
                    <w:keepLines w:val="0"/>
                    <w:suppressLineNumbers w:val="0"/>
                    <w:autoSpaceDE w:val="0"/>
                    <w:autoSpaceDN w:val="0"/>
                    <w:adjustRightInd w:val="0"/>
                    <w:spacing w:before="0" w:beforeAutospacing="0" w:after="0" w:afterAutospacing="0"/>
                    <w:ind w:right="0"/>
                    <w:jc w:val="left"/>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w:t>
                  </w:r>
                  <w:r>
                    <w:rPr>
                      <w:rFonts w:hint="eastAsia" w:ascii="宋体" w:hAnsi="宋体" w:eastAsia="宋体" w:cs="宋体"/>
                      <w:color w:val="auto"/>
                      <w:kern w:val="0"/>
                      <w:sz w:val="21"/>
                      <w:szCs w:val="21"/>
                      <w:highlight w:val="none"/>
                      <w:lang w:val="en-US" w:eastAsia="zh-CN"/>
                    </w:rPr>
                    <w:t>12</w:t>
                  </w:r>
                  <w:r>
                    <w:rPr>
                      <w:rFonts w:hint="eastAsia" w:ascii="宋体" w:hAnsi="宋体" w:eastAsia="宋体" w:cs="宋体"/>
                      <w:color w:val="auto"/>
                      <w:kern w:val="0"/>
                      <w:sz w:val="21"/>
                      <w:szCs w:val="21"/>
                      <w:highlight w:val="none"/>
                    </w:rPr>
                    <w:t>、可开展糖氢呼气试验，且试验采气气袋数≤4 袋，检测更方便、高效，且</w:t>
                  </w:r>
                  <w:r>
                    <w:rPr>
                      <w:rFonts w:hint="eastAsia" w:ascii="宋体" w:hAnsi="宋体" w:eastAsia="宋体" w:cs="宋体"/>
                      <w:b/>
                      <w:bCs/>
                      <w:color w:val="auto"/>
                      <w:kern w:val="0"/>
                      <w:sz w:val="21"/>
                      <w:szCs w:val="21"/>
                      <w:highlight w:val="none"/>
                    </w:rPr>
                    <w:t>有国家注册备案的专用糖氢呼气试验耗材</w:t>
                  </w:r>
                  <w:r>
                    <w:rPr>
                      <w:rFonts w:hint="eastAsia" w:ascii="宋体" w:hAnsi="宋体" w:eastAsia="宋体" w:cs="宋体"/>
                      <w:color w:val="auto"/>
                      <w:kern w:val="0"/>
                      <w:sz w:val="21"/>
                      <w:szCs w:val="21"/>
                      <w:highlight w:val="none"/>
                    </w:rPr>
                    <w:t>。</w:t>
                  </w:r>
                </w:p>
              </w:tc>
            </w:tr>
            <w:tr w14:paraId="3E4A4B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trPr>
              <w:tc>
                <w:tcPr>
                  <w:tcW w:w="1545" w:type="dxa"/>
                  <w:vMerge w:val="continue"/>
                  <w:tcBorders>
                    <w:left w:val="single" w:color="auto" w:sz="4" w:space="0"/>
                    <w:right w:val="single" w:color="auto" w:sz="4" w:space="0"/>
                  </w:tcBorders>
                  <w:noWrap w:val="0"/>
                  <w:vAlign w:val="center"/>
                </w:tcPr>
                <w:p w14:paraId="077C4C0A">
                  <w:pPr>
                    <w:keepNext w:val="0"/>
                    <w:keepLines w:val="0"/>
                    <w:suppressLineNumbers w:val="0"/>
                    <w:autoSpaceDE w:val="0"/>
                    <w:autoSpaceDN w:val="0"/>
                    <w:adjustRightInd w:val="0"/>
                    <w:spacing w:before="0" w:beforeAutospacing="0" w:after="0" w:afterAutospacing="0"/>
                    <w:ind w:left="0" w:right="0" w:firstLine="525" w:firstLineChars="250"/>
                    <w:jc w:val="left"/>
                    <w:rPr>
                      <w:rFonts w:hint="eastAsia" w:ascii="宋体" w:hAnsi="宋体" w:eastAsia="宋体" w:cs="宋体"/>
                      <w:color w:val="auto"/>
                      <w:kern w:val="0"/>
                      <w:sz w:val="21"/>
                      <w:szCs w:val="21"/>
                      <w:highlight w:val="none"/>
                    </w:rPr>
                  </w:pPr>
                </w:p>
              </w:tc>
              <w:tc>
                <w:tcPr>
                  <w:tcW w:w="6874" w:type="dxa"/>
                  <w:tcBorders>
                    <w:top w:val="single" w:color="auto" w:sz="4" w:space="0"/>
                    <w:left w:val="single" w:color="auto" w:sz="4" w:space="0"/>
                    <w:bottom w:val="single" w:color="auto" w:sz="4" w:space="0"/>
                    <w:right w:val="single" w:color="auto" w:sz="4" w:space="0"/>
                  </w:tcBorders>
                  <w:noWrap w:val="0"/>
                  <w:vAlign w:val="top"/>
                </w:tcPr>
                <w:p w14:paraId="2F64A762">
                  <w:pPr>
                    <w:keepNext w:val="0"/>
                    <w:keepLines w:val="0"/>
                    <w:suppressLineNumbers w:val="0"/>
                    <w:autoSpaceDE w:val="0"/>
                    <w:autoSpaceDN w:val="0"/>
                    <w:adjustRightInd w:val="0"/>
                    <w:spacing w:before="0" w:beforeAutospacing="0" w:after="0" w:afterAutospacing="0"/>
                    <w:ind w:right="0"/>
                    <w:jc w:val="left"/>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w:t>
                  </w:r>
                  <w:r>
                    <w:rPr>
                      <w:rFonts w:hint="eastAsia" w:ascii="宋体" w:hAnsi="宋体" w:eastAsia="宋体" w:cs="宋体"/>
                      <w:color w:val="auto"/>
                      <w:kern w:val="0"/>
                      <w:sz w:val="21"/>
                      <w:szCs w:val="21"/>
                      <w:highlight w:val="none"/>
                      <w:lang w:val="en-US" w:eastAsia="zh-CN"/>
                    </w:rPr>
                    <w:t>13</w:t>
                  </w:r>
                  <w:r>
                    <w:rPr>
                      <w:rFonts w:hint="eastAsia" w:ascii="宋体" w:hAnsi="宋体" w:eastAsia="宋体" w:cs="宋体"/>
                      <w:color w:val="auto"/>
                      <w:kern w:val="0"/>
                      <w:sz w:val="21"/>
                      <w:szCs w:val="21"/>
                      <w:highlight w:val="none"/>
                    </w:rPr>
                    <w:t>、符合“罗马共识 ”氢呼气试验要求基于气相色谱+热导原理的检测技术。</w:t>
                  </w:r>
                </w:p>
              </w:tc>
            </w:tr>
            <w:tr w14:paraId="285C67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trPr>
              <w:tc>
                <w:tcPr>
                  <w:tcW w:w="1545" w:type="dxa"/>
                  <w:vMerge w:val="continue"/>
                  <w:tcBorders>
                    <w:left w:val="single" w:color="auto" w:sz="4" w:space="0"/>
                    <w:right w:val="single" w:color="auto" w:sz="4" w:space="0"/>
                  </w:tcBorders>
                  <w:noWrap w:val="0"/>
                  <w:vAlign w:val="center"/>
                </w:tcPr>
                <w:p w14:paraId="190BE322">
                  <w:pPr>
                    <w:keepNext w:val="0"/>
                    <w:keepLines w:val="0"/>
                    <w:suppressLineNumbers w:val="0"/>
                    <w:autoSpaceDE w:val="0"/>
                    <w:autoSpaceDN w:val="0"/>
                    <w:adjustRightInd w:val="0"/>
                    <w:spacing w:before="0" w:beforeAutospacing="0" w:after="0" w:afterAutospacing="0"/>
                    <w:ind w:left="0" w:right="0" w:firstLine="525" w:firstLineChars="250"/>
                    <w:jc w:val="left"/>
                    <w:rPr>
                      <w:rFonts w:hint="eastAsia" w:ascii="宋体" w:hAnsi="宋体" w:eastAsia="宋体" w:cs="宋体"/>
                      <w:color w:val="auto"/>
                      <w:kern w:val="0"/>
                      <w:sz w:val="21"/>
                      <w:szCs w:val="21"/>
                      <w:highlight w:val="none"/>
                    </w:rPr>
                  </w:pPr>
                </w:p>
              </w:tc>
              <w:tc>
                <w:tcPr>
                  <w:tcW w:w="6874" w:type="dxa"/>
                  <w:tcBorders>
                    <w:top w:val="single" w:color="auto" w:sz="4" w:space="0"/>
                    <w:left w:val="single" w:color="auto" w:sz="4" w:space="0"/>
                    <w:bottom w:val="single" w:color="auto" w:sz="4" w:space="0"/>
                    <w:right w:val="single" w:color="auto" w:sz="4" w:space="0"/>
                  </w:tcBorders>
                  <w:noWrap w:val="0"/>
                  <w:vAlign w:val="top"/>
                </w:tcPr>
                <w:p w14:paraId="37FC364D">
                  <w:pPr>
                    <w:keepNext w:val="0"/>
                    <w:keepLines w:val="0"/>
                    <w:suppressLineNumbers w:val="0"/>
                    <w:autoSpaceDE w:val="0"/>
                    <w:autoSpaceDN w:val="0"/>
                    <w:adjustRightInd w:val="0"/>
                    <w:spacing w:before="0" w:beforeAutospacing="0" w:after="0" w:afterAutospacing="0"/>
                    <w:ind w:right="0"/>
                    <w:jc w:val="left"/>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1</w:t>
                  </w:r>
                  <w:r>
                    <w:rPr>
                      <w:rFonts w:hint="eastAsia" w:ascii="宋体" w:hAnsi="宋体" w:eastAsia="宋体" w:cs="宋体"/>
                      <w:color w:val="auto"/>
                      <w:kern w:val="0"/>
                      <w:sz w:val="21"/>
                      <w:szCs w:val="21"/>
                      <w:highlight w:val="none"/>
                      <w:lang w:val="en-US" w:eastAsia="zh-CN"/>
                    </w:rPr>
                    <w:t>4</w:t>
                  </w:r>
                  <w:r>
                    <w:rPr>
                      <w:rFonts w:hint="eastAsia" w:ascii="宋体" w:hAnsi="宋体" w:eastAsia="宋体" w:cs="宋体"/>
                      <w:color w:val="auto"/>
                      <w:kern w:val="0"/>
                      <w:sz w:val="21"/>
                      <w:szCs w:val="21"/>
                      <w:highlight w:val="none"/>
                    </w:rPr>
                    <w:t>、数据查询功能：提供历史数据查询、导出、打印。</w:t>
                  </w:r>
                </w:p>
              </w:tc>
            </w:tr>
            <w:tr w14:paraId="419A6C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trPr>
              <w:tc>
                <w:tcPr>
                  <w:tcW w:w="1545" w:type="dxa"/>
                  <w:vMerge w:val="continue"/>
                  <w:tcBorders>
                    <w:left w:val="single" w:color="auto" w:sz="4" w:space="0"/>
                    <w:right w:val="single" w:color="auto" w:sz="4" w:space="0"/>
                  </w:tcBorders>
                  <w:noWrap w:val="0"/>
                  <w:vAlign w:val="center"/>
                </w:tcPr>
                <w:p w14:paraId="3D8B451B">
                  <w:pPr>
                    <w:keepNext w:val="0"/>
                    <w:keepLines w:val="0"/>
                    <w:suppressLineNumbers w:val="0"/>
                    <w:autoSpaceDE w:val="0"/>
                    <w:autoSpaceDN w:val="0"/>
                    <w:adjustRightInd w:val="0"/>
                    <w:spacing w:before="0" w:beforeAutospacing="0" w:after="0" w:afterAutospacing="0"/>
                    <w:ind w:left="0" w:right="0" w:firstLine="525" w:firstLineChars="250"/>
                    <w:jc w:val="left"/>
                    <w:rPr>
                      <w:rFonts w:hint="eastAsia" w:ascii="宋体" w:hAnsi="宋体" w:eastAsia="宋体" w:cs="宋体"/>
                      <w:color w:val="auto"/>
                      <w:kern w:val="0"/>
                      <w:sz w:val="21"/>
                      <w:szCs w:val="21"/>
                      <w:highlight w:val="none"/>
                    </w:rPr>
                  </w:pPr>
                </w:p>
              </w:tc>
              <w:tc>
                <w:tcPr>
                  <w:tcW w:w="6874" w:type="dxa"/>
                  <w:tcBorders>
                    <w:top w:val="single" w:color="auto" w:sz="4" w:space="0"/>
                    <w:left w:val="single" w:color="auto" w:sz="4" w:space="0"/>
                    <w:bottom w:val="single" w:color="auto" w:sz="4" w:space="0"/>
                    <w:right w:val="single" w:color="auto" w:sz="4" w:space="0"/>
                  </w:tcBorders>
                  <w:noWrap w:val="0"/>
                  <w:vAlign w:val="top"/>
                </w:tcPr>
                <w:p w14:paraId="674D6AC4">
                  <w:pPr>
                    <w:keepNext w:val="0"/>
                    <w:keepLines w:val="0"/>
                    <w:suppressLineNumbers w:val="0"/>
                    <w:autoSpaceDE w:val="0"/>
                    <w:autoSpaceDN w:val="0"/>
                    <w:adjustRightInd w:val="0"/>
                    <w:spacing w:before="0" w:beforeAutospacing="0" w:after="0" w:afterAutospacing="0"/>
                    <w:ind w:right="0"/>
                    <w:jc w:val="left"/>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1</w:t>
                  </w:r>
                  <w:r>
                    <w:rPr>
                      <w:rFonts w:hint="eastAsia" w:ascii="宋体" w:hAnsi="宋体" w:eastAsia="宋体" w:cs="宋体"/>
                      <w:color w:val="auto"/>
                      <w:kern w:val="0"/>
                      <w:sz w:val="21"/>
                      <w:szCs w:val="21"/>
                      <w:highlight w:val="none"/>
                      <w:lang w:val="en-US" w:eastAsia="zh-CN"/>
                    </w:rPr>
                    <w:t>5</w:t>
                  </w:r>
                  <w:r>
                    <w:rPr>
                      <w:rFonts w:hint="eastAsia" w:ascii="宋体" w:hAnsi="宋体" w:eastAsia="宋体" w:cs="宋体"/>
                      <w:color w:val="auto"/>
                      <w:kern w:val="0"/>
                      <w:sz w:val="21"/>
                      <w:szCs w:val="21"/>
                      <w:highlight w:val="none"/>
                    </w:rPr>
                    <w:t>、连续工作时间&gt; 8 小时。</w:t>
                  </w:r>
                </w:p>
              </w:tc>
            </w:tr>
            <w:tr w14:paraId="637D83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trPr>
              <w:tc>
                <w:tcPr>
                  <w:tcW w:w="1545" w:type="dxa"/>
                  <w:vMerge w:val="continue"/>
                  <w:tcBorders>
                    <w:left w:val="single" w:color="auto" w:sz="4" w:space="0"/>
                    <w:right w:val="single" w:color="auto" w:sz="4" w:space="0"/>
                  </w:tcBorders>
                  <w:noWrap w:val="0"/>
                  <w:vAlign w:val="center"/>
                </w:tcPr>
                <w:p w14:paraId="38805FB3">
                  <w:pPr>
                    <w:keepNext w:val="0"/>
                    <w:keepLines w:val="0"/>
                    <w:suppressLineNumbers w:val="0"/>
                    <w:autoSpaceDE w:val="0"/>
                    <w:autoSpaceDN w:val="0"/>
                    <w:adjustRightInd w:val="0"/>
                    <w:spacing w:before="0" w:beforeAutospacing="0" w:after="0" w:afterAutospacing="0"/>
                    <w:ind w:left="0" w:right="0" w:firstLine="525" w:firstLineChars="250"/>
                    <w:jc w:val="left"/>
                    <w:rPr>
                      <w:rFonts w:hint="eastAsia" w:ascii="宋体" w:hAnsi="宋体" w:eastAsia="宋体" w:cs="宋体"/>
                      <w:color w:val="auto"/>
                      <w:kern w:val="0"/>
                      <w:sz w:val="21"/>
                      <w:szCs w:val="21"/>
                      <w:highlight w:val="none"/>
                    </w:rPr>
                  </w:pPr>
                </w:p>
              </w:tc>
              <w:tc>
                <w:tcPr>
                  <w:tcW w:w="6874" w:type="dxa"/>
                  <w:tcBorders>
                    <w:top w:val="single" w:color="auto" w:sz="4" w:space="0"/>
                    <w:left w:val="single" w:color="auto" w:sz="4" w:space="0"/>
                    <w:bottom w:val="single" w:color="auto" w:sz="4" w:space="0"/>
                    <w:right w:val="single" w:color="auto" w:sz="4" w:space="0"/>
                  </w:tcBorders>
                  <w:noWrap w:val="0"/>
                  <w:vAlign w:val="top"/>
                </w:tcPr>
                <w:p w14:paraId="22590669">
                  <w:pPr>
                    <w:keepNext w:val="0"/>
                    <w:keepLines w:val="0"/>
                    <w:suppressLineNumbers w:val="0"/>
                    <w:autoSpaceDE w:val="0"/>
                    <w:autoSpaceDN w:val="0"/>
                    <w:adjustRightInd w:val="0"/>
                    <w:spacing w:before="0" w:beforeAutospacing="0" w:after="0" w:afterAutospacing="0"/>
                    <w:ind w:right="0"/>
                    <w:jc w:val="left"/>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1</w:t>
                  </w:r>
                  <w:r>
                    <w:rPr>
                      <w:rFonts w:hint="eastAsia" w:ascii="宋体" w:hAnsi="宋体" w:eastAsia="宋体" w:cs="宋体"/>
                      <w:color w:val="auto"/>
                      <w:kern w:val="0"/>
                      <w:sz w:val="21"/>
                      <w:szCs w:val="21"/>
                      <w:highlight w:val="none"/>
                      <w:lang w:val="en-US" w:eastAsia="zh-CN"/>
                    </w:rPr>
                    <w:t>6</w:t>
                  </w:r>
                  <w:r>
                    <w:rPr>
                      <w:rFonts w:hint="eastAsia" w:ascii="宋体" w:hAnsi="宋体" w:eastAsia="宋体" w:cs="宋体"/>
                      <w:color w:val="auto"/>
                      <w:kern w:val="0"/>
                      <w:sz w:val="21"/>
                      <w:szCs w:val="21"/>
                      <w:highlight w:val="none"/>
                    </w:rPr>
                    <w:t>、检测时间：≤5 分钟/样。</w:t>
                  </w:r>
                </w:p>
              </w:tc>
            </w:tr>
            <w:tr w14:paraId="7A5607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trPr>
              <w:tc>
                <w:tcPr>
                  <w:tcW w:w="1545" w:type="dxa"/>
                  <w:vMerge w:val="continue"/>
                  <w:tcBorders>
                    <w:left w:val="single" w:color="auto" w:sz="4" w:space="0"/>
                    <w:right w:val="single" w:color="auto" w:sz="4" w:space="0"/>
                  </w:tcBorders>
                  <w:noWrap w:val="0"/>
                  <w:vAlign w:val="center"/>
                </w:tcPr>
                <w:p w14:paraId="3A712B08">
                  <w:pPr>
                    <w:keepNext w:val="0"/>
                    <w:keepLines w:val="0"/>
                    <w:suppressLineNumbers w:val="0"/>
                    <w:autoSpaceDE w:val="0"/>
                    <w:autoSpaceDN w:val="0"/>
                    <w:adjustRightInd w:val="0"/>
                    <w:spacing w:before="0" w:beforeAutospacing="0" w:after="0" w:afterAutospacing="0"/>
                    <w:ind w:left="0" w:right="0" w:firstLine="525" w:firstLineChars="250"/>
                    <w:jc w:val="left"/>
                    <w:rPr>
                      <w:rFonts w:hint="eastAsia" w:ascii="宋体" w:hAnsi="宋体" w:eastAsia="宋体" w:cs="宋体"/>
                      <w:color w:val="auto"/>
                      <w:kern w:val="0"/>
                      <w:sz w:val="21"/>
                      <w:szCs w:val="21"/>
                      <w:highlight w:val="none"/>
                    </w:rPr>
                  </w:pPr>
                </w:p>
              </w:tc>
              <w:tc>
                <w:tcPr>
                  <w:tcW w:w="6874" w:type="dxa"/>
                  <w:tcBorders>
                    <w:top w:val="single" w:color="auto" w:sz="4" w:space="0"/>
                    <w:left w:val="single" w:color="auto" w:sz="4" w:space="0"/>
                    <w:bottom w:val="single" w:color="auto" w:sz="4" w:space="0"/>
                    <w:right w:val="single" w:color="auto" w:sz="4" w:space="0"/>
                  </w:tcBorders>
                  <w:noWrap w:val="0"/>
                  <w:vAlign w:val="top"/>
                </w:tcPr>
                <w:p w14:paraId="727B1156">
                  <w:pPr>
                    <w:keepNext w:val="0"/>
                    <w:keepLines w:val="0"/>
                    <w:suppressLineNumbers w:val="0"/>
                    <w:autoSpaceDE w:val="0"/>
                    <w:autoSpaceDN w:val="0"/>
                    <w:adjustRightInd w:val="0"/>
                    <w:spacing w:before="0" w:beforeAutospacing="0" w:after="0" w:afterAutospacing="0"/>
                    <w:ind w:right="0"/>
                    <w:jc w:val="left"/>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1</w:t>
                  </w:r>
                  <w:r>
                    <w:rPr>
                      <w:rFonts w:hint="eastAsia" w:ascii="宋体" w:hAnsi="宋体" w:eastAsia="宋体" w:cs="宋体"/>
                      <w:color w:val="auto"/>
                      <w:kern w:val="0"/>
                      <w:sz w:val="21"/>
                      <w:szCs w:val="21"/>
                      <w:highlight w:val="none"/>
                      <w:lang w:val="en-US" w:eastAsia="zh-CN"/>
                    </w:rPr>
                    <w:t>7</w:t>
                  </w:r>
                  <w:r>
                    <w:rPr>
                      <w:rFonts w:hint="eastAsia" w:ascii="宋体" w:hAnsi="宋体" w:eastAsia="宋体" w:cs="宋体"/>
                      <w:color w:val="auto"/>
                      <w:kern w:val="0"/>
                      <w:sz w:val="21"/>
                      <w:szCs w:val="21"/>
                      <w:highlight w:val="none"/>
                    </w:rPr>
                    <w:t>、人机界面：全中文操作平台、支持中英文输入</w:t>
                  </w:r>
                  <w:r>
                    <w:rPr>
                      <w:rFonts w:hint="eastAsia" w:ascii="宋体" w:hAnsi="宋体" w:cs="宋体"/>
                      <w:color w:val="auto"/>
                      <w:kern w:val="0"/>
                      <w:sz w:val="21"/>
                      <w:szCs w:val="21"/>
                      <w:highlight w:val="none"/>
                      <w:lang w:eastAsia="zh-CN"/>
                    </w:rPr>
                    <w:t>，可通过扫描登记人员信息</w:t>
                  </w:r>
                  <w:r>
                    <w:rPr>
                      <w:rFonts w:hint="eastAsia" w:ascii="宋体" w:hAnsi="宋体" w:eastAsia="宋体" w:cs="宋体"/>
                      <w:color w:val="auto"/>
                      <w:kern w:val="0"/>
                      <w:sz w:val="21"/>
                      <w:szCs w:val="21"/>
                      <w:highlight w:val="none"/>
                    </w:rPr>
                    <w:t>。</w:t>
                  </w:r>
                </w:p>
              </w:tc>
            </w:tr>
            <w:tr w14:paraId="0D3560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trPr>
              <w:tc>
                <w:tcPr>
                  <w:tcW w:w="1545" w:type="dxa"/>
                  <w:vMerge w:val="continue"/>
                  <w:tcBorders>
                    <w:left w:val="single" w:color="auto" w:sz="4" w:space="0"/>
                    <w:right w:val="single" w:color="auto" w:sz="4" w:space="0"/>
                  </w:tcBorders>
                  <w:noWrap w:val="0"/>
                  <w:vAlign w:val="center"/>
                </w:tcPr>
                <w:p w14:paraId="5F337820">
                  <w:pPr>
                    <w:keepNext w:val="0"/>
                    <w:keepLines w:val="0"/>
                    <w:suppressLineNumbers w:val="0"/>
                    <w:autoSpaceDE w:val="0"/>
                    <w:autoSpaceDN w:val="0"/>
                    <w:adjustRightInd w:val="0"/>
                    <w:spacing w:before="0" w:beforeAutospacing="0" w:after="0" w:afterAutospacing="0"/>
                    <w:ind w:left="0" w:right="0" w:firstLine="525" w:firstLineChars="250"/>
                    <w:jc w:val="left"/>
                    <w:rPr>
                      <w:rFonts w:hint="eastAsia" w:ascii="宋体" w:hAnsi="宋体" w:eastAsia="宋体" w:cs="宋体"/>
                      <w:color w:val="auto"/>
                      <w:kern w:val="0"/>
                      <w:sz w:val="21"/>
                      <w:szCs w:val="21"/>
                      <w:highlight w:val="none"/>
                    </w:rPr>
                  </w:pPr>
                </w:p>
              </w:tc>
              <w:tc>
                <w:tcPr>
                  <w:tcW w:w="6874" w:type="dxa"/>
                  <w:tcBorders>
                    <w:top w:val="single" w:color="auto" w:sz="4" w:space="0"/>
                    <w:left w:val="single" w:color="auto" w:sz="4" w:space="0"/>
                    <w:bottom w:val="single" w:color="auto" w:sz="4" w:space="0"/>
                    <w:right w:val="single" w:color="auto" w:sz="4" w:space="0"/>
                  </w:tcBorders>
                  <w:noWrap w:val="0"/>
                  <w:vAlign w:val="top"/>
                </w:tcPr>
                <w:p w14:paraId="4015B35B">
                  <w:pPr>
                    <w:keepNext w:val="0"/>
                    <w:keepLines w:val="0"/>
                    <w:suppressLineNumbers w:val="0"/>
                    <w:autoSpaceDE w:val="0"/>
                    <w:autoSpaceDN w:val="0"/>
                    <w:adjustRightInd w:val="0"/>
                    <w:spacing w:before="0" w:beforeAutospacing="0" w:after="0" w:afterAutospacing="0"/>
                    <w:ind w:right="0"/>
                    <w:jc w:val="left"/>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1</w:t>
                  </w:r>
                  <w:r>
                    <w:rPr>
                      <w:rFonts w:hint="eastAsia" w:ascii="宋体" w:hAnsi="宋体" w:eastAsia="宋体" w:cs="宋体"/>
                      <w:color w:val="auto"/>
                      <w:kern w:val="0"/>
                      <w:sz w:val="21"/>
                      <w:szCs w:val="21"/>
                      <w:highlight w:val="none"/>
                      <w:lang w:val="en-US" w:eastAsia="zh-CN"/>
                    </w:rPr>
                    <w:t>8</w:t>
                  </w:r>
                  <w:r>
                    <w:rPr>
                      <w:rFonts w:hint="eastAsia" w:ascii="宋体" w:hAnsi="宋体" w:eastAsia="宋体" w:cs="宋体"/>
                      <w:color w:val="auto"/>
                      <w:kern w:val="0"/>
                      <w:sz w:val="21"/>
                      <w:szCs w:val="21"/>
                      <w:highlight w:val="none"/>
                    </w:rPr>
                    <w:t>、数据通讯：HL7 协议进行网络通信。</w:t>
                  </w:r>
                </w:p>
              </w:tc>
            </w:tr>
            <w:tr w14:paraId="0A4BDA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trPr>
              <w:tc>
                <w:tcPr>
                  <w:tcW w:w="1545" w:type="dxa"/>
                  <w:vMerge w:val="continue"/>
                  <w:tcBorders>
                    <w:left w:val="single" w:color="auto" w:sz="4" w:space="0"/>
                    <w:right w:val="single" w:color="auto" w:sz="4" w:space="0"/>
                  </w:tcBorders>
                  <w:noWrap w:val="0"/>
                  <w:vAlign w:val="center"/>
                </w:tcPr>
                <w:p w14:paraId="1EDDECCD">
                  <w:pPr>
                    <w:keepNext w:val="0"/>
                    <w:keepLines w:val="0"/>
                    <w:suppressLineNumbers w:val="0"/>
                    <w:autoSpaceDE w:val="0"/>
                    <w:autoSpaceDN w:val="0"/>
                    <w:adjustRightInd w:val="0"/>
                    <w:spacing w:before="0" w:beforeAutospacing="0" w:after="0" w:afterAutospacing="0"/>
                    <w:ind w:left="0" w:right="0" w:firstLine="525" w:firstLineChars="250"/>
                    <w:jc w:val="left"/>
                    <w:rPr>
                      <w:rFonts w:hint="eastAsia" w:ascii="宋体" w:hAnsi="宋体" w:eastAsia="宋体" w:cs="宋体"/>
                      <w:color w:val="auto"/>
                      <w:kern w:val="0"/>
                      <w:sz w:val="21"/>
                      <w:szCs w:val="21"/>
                      <w:highlight w:val="none"/>
                    </w:rPr>
                  </w:pPr>
                </w:p>
              </w:tc>
              <w:tc>
                <w:tcPr>
                  <w:tcW w:w="6874" w:type="dxa"/>
                  <w:tcBorders>
                    <w:top w:val="single" w:color="auto" w:sz="4" w:space="0"/>
                    <w:left w:val="single" w:color="auto" w:sz="4" w:space="0"/>
                    <w:bottom w:val="single" w:color="auto" w:sz="4" w:space="0"/>
                    <w:right w:val="single" w:color="auto" w:sz="4" w:space="0"/>
                  </w:tcBorders>
                  <w:noWrap w:val="0"/>
                  <w:vAlign w:val="top"/>
                </w:tcPr>
                <w:p w14:paraId="597B9B39">
                  <w:pPr>
                    <w:keepNext w:val="0"/>
                    <w:keepLines w:val="0"/>
                    <w:suppressLineNumbers w:val="0"/>
                    <w:autoSpaceDE w:val="0"/>
                    <w:autoSpaceDN w:val="0"/>
                    <w:adjustRightInd w:val="0"/>
                    <w:spacing w:before="0" w:beforeAutospacing="0" w:after="0" w:afterAutospacing="0"/>
                    <w:ind w:right="0"/>
                    <w:jc w:val="left"/>
                    <w:rPr>
                      <w:rFonts w:hint="eastAsia" w:ascii="宋体" w:hAnsi="宋体" w:eastAsia="宋体" w:cs="宋体"/>
                      <w:color w:val="auto"/>
                      <w:kern w:val="0"/>
                      <w:sz w:val="21"/>
                      <w:szCs w:val="21"/>
                      <w:highlight w:val="none"/>
                    </w:rPr>
                  </w:pPr>
                  <w:r>
                    <w:rPr>
                      <w:rFonts w:asciiTheme="minorEastAsia" w:hAnsiTheme="minorEastAsia" w:eastAsiaTheme="minorEastAsia"/>
                      <w:color w:val="auto"/>
                      <w:szCs w:val="21"/>
                      <w:highlight w:val="none"/>
                    </w:rPr>
                    <w:t>▲</w:t>
                  </w:r>
                  <w:r>
                    <w:rPr>
                      <w:rFonts w:hint="eastAsia" w:ascii="宋体" w:hAnsi="宋体" w:eastAsia="宋体" w:cs="宋体"/>
                      <w:color w:val="auto"/>
                      <w:kern w:val="0"/>
                      <w:sz w:val="21"/>
                      <w:szCs w:val="21"/>
                      <w:highlight w:val="none"/>
                    </w:rPr>
                    <w:t>1</w:t>
                  </w:r>
                  <w:r>
                    <w:rPr>
                      <w:rFonts w:hint="eastAsia" w:ascii="宋体" w:hAnsi="宋体" w:eastAsia="宋体" w:cs="宋体"/>
                      <w:color w:val="auto"/>
                      <w:kern w:val="0"/>
                      <w:sz w:val="21"/>
                      <w:szCs w:val="21"/>
                      <w:highlight w:val="none"/>
                      <w:lang w:val="en-US" w:eastAsia="zh-CN"/>
                    </w:rPr>
                    <w:t>9</w:t>
                  </w:r>
                  <w:r>
                    <w:rPr>
                      <w:rFonts w:hint="eastAsia" w:ascii="宋体" w:hAnsi="宋体" w:eastAsia="宋体" w:cs="宋体"/>
                      <w:color w:val="auto"/>
                      <w:kern w:val="0"/>
                      <w:sz w:val="21"/>
                      <w:szCs w:val="21"/>
                      <w:highlight w:val="none"/>
                    </w:rPr>
                    <w:t>、报告输出：</w:t>
                  </w:r>
                  <w:r>
                    <w:rPr>
                      <w:rFonts w:hint="eastAsia" w:ascii="宋体" w:hAnsi="宋体" w:cs="宋体"/>
                      <w:color w:val="auto"/>
                      <w:kern w:val="0"/>
                      <w:sz w:val="21"/>
                      <w:szCs w:val="21"/>
                      <w:highlight w:val="none"/>
                      <w:lang w:eastAsia="zh-CN"/>
                    </w:rPr>
                    <w:t>可</w:t>
                  </w:r>
                  <w:r>
                    <w:rPr>
                      <w:rFonts w:hint="eastAsia" w:ascii="宋体" w:hAnsi="宋体" w:eastAsia="宋体" w:cs="宋体"/>
                      <w:color w:val="auto"/>
                      <w:kern w:val="0"/>
                      <w:sz w:val="21"/>
                      <w:szCs w:val="21"/>
                      <w:highlight w:val="none"/>
                    </w:rPr>
                    <w:t>自主选择是否生成报告</w:t>
                  </w:r>
                  <w:r>
                    <w:rPr>
                      <w:rFonts w:hint="eastAsia" w:ascii="宋体" w:hAnsi="宋体" w:cs="宋体"/>
                      <w:color w:val="auto"/>
                      <w:kern w:val="0"/>
                      <w:sz w:val="21"/>
                      <w:szCs w:val="21"/>
                      <w:highlight w:val="none"/>
                      <w:lang w:eastAsia="zh-CN"/>
                    </w:rPr>
                    <w:t>，检查报告可直接接入医院体检系统，自动上传电子报告</w:t>
                  </w:r>
                  <w:r>
                    <w:rPr>
                      <w:rFonts w:hint="eastAsia" w:ascii="宋体" w:hAnsi="宋体" w:eastAsia="宋体" w:cs="宋体"/>
                      <w:color w:val="auto"/>
                      <w:kern w:val="0"/>
                      <w:sz w:val="21"/>
                      <w:szCs w:val="21"/>
                      <w:highlight w:val="none"/>
                    </w:rPr>
                    <w:t>。</w:t>
                  </w:r>
                </w:p>
              </w:tc>
            </w:tr>
            <w:tr w14:paraId="52BA9B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trPr>
              <w:tc>
                <w:tcPr>
                  <w:tcW w:w="1545" w:type="dxa"/>
                  <w:vMerge w:val="continue"/>
                  <w:tcBorders>
                    <w:left w:val="single" w:color="auto" w:sz="4" w:space="0"/>
                    <w:right w:val="single" w:color="auto" w:sz="4" w:space="0"/>
                  </w:tcBorders>
                  <w:noWrap w:val="0"/>
                  <w:vAlign w:val="center"/>
                </w:tcPr>
                <w:p w14:paraId="79A31473">
                  <w:pPr>
                    <w:keepNext w:val="0"/>
                    <w:keepLines w:val="0"/>
                    <w:suppressLineNumbers w:val="0"/>
                    <w:autoSpaceDE w:val="0"/>
                    <w:autoSpaceDN w:val="0"/>
                    <w:adjustRightInd w:val="0"/>
                    <w:spacing w:before="0" w:beforeAutospacing="0" w:after="0" w:afterAutospacing="0"/>
                    <w:ind w:left="0" w:right="0" w:firstLine="525" w:firstLineChars="250"/>
                    <w:jc w:val="left"/>
                    <w:rPr>
                      <w:rFonts w:hint="eastAsia" w:ascii="宋体" w:hAnsi="宋体" w:eastAsia="宋体" w:cs="宋体"/>
                      <w:color w:val="auto"/>
                      <w:kern w:val="0"/>
                      <w:sz w:val="21"/>
                      <w:szCs w:val="21"/>
                      <w:highlight w:val="none"/>
                    </w:rPr>
                  </w:pPr>
                </w:p>
              </w:tc>
              <w:tc>
                <w:tcPr>
                  <w:tcW w:w="6874" w:type="dxa"/>
                  <w:tcBorders>
                    <w:top w:val="single" w:color="auto" w:sz="4" w:space="0"/>
                    <w:left w:val="single" w:color="auto" w:sz="4" w:space="0"/>
                    <w:bottom w:val="single" w:color="auto" w:sz="4" w:space="0"/>
                    <w:right w:val="single" w:color="auto" w:sz="4" w:space="0"/>
                  </w:tcBorders>
                  <w:noWrap w:val="0"/>
                  <w:vAlign w:val="top"/>
                </w:tcPr>
                <w:p w14:paraId="34D31669">
                  <w:pPr>
                    <w:keepNext w:val="0"/>
                    <w:keepLines w:val="0"/>
                    <w:suppressLineNumbers w:val="0"/>
                    <w:autoSpaceDE w:val="0"/>
                    <w:autoSpaceDN w:val="0"/>
                    <w:adjustRightInd w:val="0"/>
                    <w:spacing w:before="0" w:beforeAutospacing="0" w:after="0" w:afterAutospacing="0"/>
                    <w:ind w:right="0"/>
                    <w:jc w:val="left"/>
                    <w:rPr>
                      <w:rFonts w:hint="eastAsia" w:ascii="宋体" w:hAnsi="宋体" w:eastAsia="宋体" w:cs="宋体"/>
                      <w:color w:val="auto"/>
                      <w:kern w:val="0"/>
                      <w:sz w:val="21"/>
                      <w:szCs w:val="21"/>
                      <w:highlight w:val="none"/>
                    </w:rPr>
                  </w:pPr>
                </w:p>
              </w:tc>
            </w:tr>
            <w:tr w14:paraId="40EE2D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trPr>
              <w:tc>
                <w:tcPr>
                  <w:tcW w:w="1545" w:type="dxa"/>
                  <w:vMerge w:val="continue"/>
                  <w:tcBorders>
                    <w:left w:val="single" w:color="auto" w:sz="4" w:space="0"/>
                    <w:right w:val="single" w:color="auto" w:sz="4" w:space="0"/>
                  </w:tcBorders>
                  <w:noWrap w:val="0"/>
                  <w:vAlign w:val="center"/>
                </w:tcPr>
                <w:p w14:paraId="7673DE3E">
                  <w:pPr>
                    <w:keepNext w:val="0"/>
                    <w:keepLines w:val="0"/>
                    <w:suppressLineNumbers w:val="0"/>
                    <w:autoSpaceDE w:val="0"/>
                    <w:autoSpaceDN w:val="0"/>
                    <w:adjustRightInd w:val="0"/>
                    <w:spacing w:before="0" w:beforeAutospacing="0" w:after="0" w:afterAutospacing="0"/>
                    <w:ind w:left="0" w:right="0" w:firstLine="525" w:firstLineChars="250"/>
                    <w:jc w:val="left"/>
                    <w:rPr>
                      <w:rFonts w:hint="eastAsia" w:ascii="宋体" w:hAnsi="宋体" w:eastAsia="宋体" w:cs="宋体"/>
                      <w:color w:val="auto"/>
                      <w:kern w:val="0"/>
                      <w:sz w:val="21"/>
                      <w:szCs w:val="21"/>
                      <w:highlight w:val="none"/>
                    </w:rPr>
                  </w:pPr>
                </w:p>
              </w:tc>
              <w:tc>
                <w:tcPr>
                  <w:tcW w:w="6874" w:type="dxa"/>
                  <w:tcBorders>
                    <w:top w:val="single" w:color="auto" w:sz="4" w:space="0"/>
                    <w:left w:val="single" w:color="auto" w:sz="4" w:space="0"/>
                    <w:bottom w:val="single" w:color="auto" w:sz="4" w:space="0"/>
                    <w:right w:val="single" w:color="auto" w:sz="4" w:space="0"/>
                  </w:tcBorders>
                  <w:noWrap w:val="0"/>
                  <w:vAlign w:val="top"/>
                </w:tcPr>
                <w:p w14:paraId="242F59CF">
                  <w:pPr>
                    <w:keepNext w:val="0"/>
                    <w:keepLines w:val="0"/>
                    <w:suppressLineNumbers w:val="0"/>
                    <w:autoSpaceDE w:val="0"/>
                    <w:autoSpaceDN w:val="0"/>
                    <w:adjustRightInd w:val="0"/>
                    <w:spacing w:before="0" w:beforeAutospacing="0" w:after="0" w:afterAutospacing="0"/>
                    <w:ind w:right="0"/>
                    <w:jc w:val="left"/>
                    <w:rPr>
                      <w:rFonts w:hint="eastAsia" w:ascii="宋体" w:hAnsi="宋体" w:eastAsia="宋体" w:cs="宋体"/>
                      <w:color w:val="auto"/>
                      <w:kern w:val="0"/>
                      <w:sz w:val="21"/>
                      <w:szCs w:val="21"/>
                      <w:highlight w:val="none"/>
                    </w:rPr>
                  </w:pPr>
                </w:p>
              </w:tc>
            </w:tr>
            <w:tr w14:paraId="0C0038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trPr>
              <w:tc>
                <w:tcPr>
                  <w:tcW w:w="1545" w:type="dxa"/>
                  <w:vMerge w:val="continue"/>
                  <w:tcBorders>
                    <w:left w:val="single" w:color="auto" w:sz="4" w:space="0"/>
                    <w:bottom w:val="single" w:color="auto" w:sz="4" w:space="0"/>
                    <w:right w:val="single" w:color="auto" w:sz="4" w:space="0"/>
                  </w:tcBorders>
                  <w:noWrap w:val="0"/>
                  <w:vAlign w:val="center"/>
                </w:tcPr>
                <w:p w14:paraId="19928967">
                  <w:pPr>
                    <w:keepNext w:val="0"/>
                    <w:keepLines w:val="0"/>
                    <w:suppressLineNumbers w:val="0"/>
                    <w:autoSpaceDE w:val="0"/>
                    <w:autoSpaceDN w:val="0"/>
                    <w:adjustRightInd w:val="0"/>
                    <w:spacing w:before="0" w:beforeAutospacing="0" w:after="0" w:afterAutospacing="0"/>
                    <w:ind w:left="0" w:right="0" w:firstLine="525" w:firstLineChars="250"/>
                    <w:jc w:val="left"/>
                    <w:rPr>
                      <w:rFonts w:hint="eastAsia" w:ascii="宋体" w:hAnsi="宋体" w:eastAsia="宋体" w:cs="宋体"/>
                      <w:color w:val="auto"/>
                      <w:kern w:val="0"/>
                      <w:sz w:val="21"/>
                      <w:szCs w:val="21"/>
                      <w:highlight w:val="none"/>
                    </w:rPr>
                  </w:pPr>
                </w:p>
              </w:tc>
              <w:tc>
                <w:tcPr>
                  <w:tcW w:w="6874" w:type="dxa"/>
                  <w:tcBorders>
                    <w:top w:val="single" w:color="auto" w:sz="4" w:space="0"/>
                    <w:left w:val="single" w:color="auto" w:sz="4" w:space="0"/>
                    <w:bottom w:val="single" w:color="auto" w:sz="4" w:space="0"/>
                    <w:right w:val="single" w:color="auto" w:sz="4" w:space="0"/>
                  </w:tcBorders>
                  <w:noWrap w:val="0"/>
                  <w:vAlign w:val="top"/>
                </w:tcPr>
                <w:p w14:paraId="0B0CEAF5">
                  <w:pPr>
                    <w:keepNext w:val="0"/>
                    <w:keepLines w:val="0"/>
                    <w:suppressLineNumbers w:val="0"/>
                    <w:autoSpaceDE w:val="0"/>
                    <w:autoSpaceDN w:val="0"/>
                    <w:adjustRightInd w:val="0"/>
                    <w:spacing w:before="0" w:beforeAutospacing="0" w:after="0" w:afterAutospacing="0"/>
                    <w:ind w:right="0"/>
                    <w:jc w:val="left"/>
                    <w:rPr>
                      <w:rFonts w:hint="eastAsia" w:ascii="宋体" w:hAnsi="宋体" w:eastAsia="宋体" w:cs="宋体"/>
                      <w:color w:val="auto"/>
                      <w:kern w:val="0"/>
                      <w:sz w:val="21"/>
                      <w:szCs w:val="21"/>
                      <w:highlight w:val="none"/>
                    </w:rPr>
                  </w:pPr>
                </w:p>
              </w:tc>
            </w:tr>
          </w:tbl>
          <w:p w14:paraId="570BB069">
            <w:pPr>
              <w:pStyle w:val="12"/>
              <w:rPr>
                <w:highlight w:val="none"/>
              </w:rPr>
            </w:pPr>
          </w:p>
        </w:tc>
      </w:tr>
      <w:tr w14:paraId="5D1C24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25" w:hRule="atLeast"/>
        </w:trPr>
        <w:tc>
          <w:tcPr>
            <w:tcW w:w="426" w:type="dxa"/>
            <w:vAlign w:val="center"/>
          </w:tcPr>
          <w:p w14:paraId="005EC658">
            <w:pPr>
              <w:jc w:val="center"/>
              <w:rPr>
                <w:rFonts w:cs="宋体" w:asciiTheme="minorEastAsia" w:hAnsiTheme="minorEastAsia" w:eastAsiaTheme="minorEastAsia"/>
                <w:color w:val="000000" w:themeColor="text1"/>
                <w:kern w:val="0"/>
                <w:szCs w:val="21"/>
                <w:highlight w:val="none"/>
                <w14:textFill>
                  <w14:solidFill>
                    <w14:schemeClr w14:val="tx1"/>
                  </w14:solidFill>
                </w14:textFill>
              </w:rPr>
            </w:pPr>
            <w:r>
              <w:rPr>
                <w:rFonts w:hint="eastAsia" w:cs="宋体" w:asciiTheme="minorEastAsia" w:hAnsiTheme="minorEastAsia" w:eastAsiaTheme="minorEastAsia"/>
                <w:kern w:val="0"/>
                <w:szCs w:val="21"/>
                <w:highlight w:val="none"/>
                <w:lang w:eastAsia="zh-CN"/>
              </w:rPr>
              <w:t xml:space="preserve"> </w:t>
            </w:r>
            <w:r>
              <w:rPr>
                <w:rFonts w:cs="宋体" w:asciiTheme="minorEastAsia" w:hAnsiTheme="minorEastAsia" w:eastAsiaTheme="minorEastAsia"/>
                <w:kern w:val="0"/>
                <w:szCs w:val="21"/>
                <w:highlight w:val="none"/>
              </w:rPr>
              <w:t>商务需求</w:t>
            </w:r>
          </w:p>
        </w:tc>
        <w:tc>
          <w:tcPr>
            <w:tcW w:w="8859" w:type="dxa"/>
            <w:gridSpan w:val="4"/>
          </w:tcPr>
          <w:p w14:paraId="70F13CDC">
            <w:pPr>
              <w:widowControl/>
              <w:adjustRightInd w:val="0"/>
              <w:snapToGrid w:val="0"/>
              <w:spacing w:line="276" w:lineRule="auto"/>
              <w:jc w:val="left"/>
              <w:outlineLvl w:val="0"/>
              <w:rPr>
                <w:rFonts w:cs="宋体" w:asciiTheme="minorEastAsia" w:hAnsiTheme="minorEastAsia" w:eastAsiaTheme="minorEastAsia"/>
                <w:b/>
                <w:bCs/>
                <w:color w:val="auto"/>
                <w:kern w:val="0"/>
                <w:szCs w:val="21"/>
                <w:highlight w:val="none"/>
              </w:rPr>
            </w:pPr>
            <w:r>
              <w:rPr>
                <w:rFonts w:hint="eastAsia" w:cs="宋体" w:asciiTheme="minorEastAsia" w:hAnsiTheme="minorEastAsia" w:eastAsiaTheme="minorEastAsia"/>
                <w:b/>
                <w:bCs/>
                <w:color w:val="auto"/>
                <w:kern w:val="0"/>
                <w:szCs w:val="21"/>
                <w:highlight w:val="none"/>
              </w:rPr>
              <w:t>一、报价要求</w:t>
            </w:r>
          </w:p>
          <w:p w14:paraId="5A29D926">
            <w:pPr>
              <w:widowControl/>
              <w:adjustRightInd w:val="0"/>
              <w:snapToGrid w:val="0"/>
              <w:spacing w:line="276" w:lineRule="auto"/>
              <w:ind w:firstLine="420" w:firstLineChars="200"/>
              <w:outlineLvl w:val="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1、投标人应根据本企业的成本自行决定报价，但不得以低于其企业成本的报价投标；评标时，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14:paraId="562FBFC8">
            <w:pPr>
              <w:widowControl/>
              <w:adjustRightInd w:val="0"/>
              <w:snapToGrid w:val="0"/>
              <w:spacing w:line="276" w:lineRule="auto"/>
              <w:ind w:firstLine="420" w:firstLineChars="200"/>
              <w:outlineLvl w:val="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2、投标人的投标报价，应是本项目招标范围和招标文件及合同条款上所列的各项内容中所述的全部，不得以任何理由予以重复，并以投标人在投标文件中提出的综合单价或总价为依据。</w:t>
            </w:r>
          </w:p>
          <w:p w14:paraId="740AAA4C">
            <w:pPr>
              <w:widowControl/>
              <w:adjustRightInd w:val="0"/>
              <w:snapToGrid w:val="0"/>
              <w:spacing w:line="276" w:lineRule="auto"/>
              <w:ind w:firstLine="420" w:firstLineChars="200"/>
              <w:outlineLvl w:val="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3、除非政府集中采购机构通过修改招标文件予以更正，否则，投标人应毫无例外地按招标文件所列的清单中项目和数量填报综合单价或总价。投标人未填综合单价或总价的项目，在实施后，将不得以支付，并视作该项费用已包括在其它有价款的综合单价或总价内。</w:t>
            </w:r>
          </w:p>
          <w:p w14:paraId="22AD0C65">
            <w:pPr>
              <w:widowControl/>
              <w:adjustRightInd w:val="0"/>
              <w:snapToGrid w:val="0"/>
              <w:spacing w:line="276" w:lineRule="auto"/>
              <w:ind w:firstLine="420" w:firstLineChars="200"/>
              <w:outlineLvl w:val="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4、投标人应充分了解项目的位置、情况、道路及任何其它足以影响投标报价的情况，任何因忽视或误解项目情况而导致的索赔或服务期限延长申请将不获批准。</w:t>
            </w:r>
          </w:p>
          <w:p w14:paraId="3EEFC514">
            <w:pPr>
              <w:widowControl/>
              <w:adjustRightInd w:val="0"/>
              <w:snapToGrid w:val="0"/>
              <w:spacing w:line="276" w:lineRule="auto"/>
              <w:ind w:firstLine="420" w:firstLineChars="200"/>
              <w:outlineLvl w:val="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5、投标人不得期望通过索赔等方式获取补偿，否则，除可能遭到拒绝外，还可能将被作为不良行为记录在案，并可能影响其以后参加政府采购的项目投标。各投标人在投标报价时，应充分考虑投标报价的风险。</w:t>
            </w:r>
          </w:p>
          <w:p w14:paraId="32FEE28F">
            <w:pPr>
              <w:ind w:firstLine="420" w:firstLineChars="200"/>
              <w:rPr>
                <w:rFonts w:hint="eastAsia"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6</w:t>
            </w:r>
            <w:r>
              <w:rPr>
                <w:rFonts w:hint="eastAsia" w:asciiTheme="minorEastAsia" w:hAnsiTheme="minorEastAsia" w:eastAsiaTheme="minorEastAsia"/>
                <w:color w:val="auto"/>
                <w:szCs w:val="21"/>
                <w:highlight w:val="none"/>
              </w:rPr>
              <w:t>、投标人须考虑本项目在实施期间的一切可能产生的费用。在项目实施过程中，如项目工作范围发生变更，由中标人和采购人双方协商解决；其余情况下，投标总价均不予调整。</w:t>
            </w:r>
          </w:p>
          <w:p w14:paraId="514FCE2B">
            <w:pPr>
              <w:pStyle w:val="7"/>
              <w:rPr>
                <w:color w:val="auto"/>
                <w:highlight w:val="none"/>
              </w:rPr>
            </w:pPr>
          </w:p>
          <w:p w14:paraId="48EAB7A6">
            <w:pPr>
              <w:widowControl/>
              <w:adjustRightInd w:val="0"/>
              <w:snapToGrid w:val="0"/>
              <w:spacing w:line="276" w:lineRule="auto"/>
              <w:jc w:val="left"/>
              <w:outlineLvl w:val="0"/>
              <w:rPr>
                <w:rFonts w:cs="宋体" w:asciiTheme="minorEastAsia" w:hAnsiTheme="minorEastAsia" w:eastAsiaTheme="minorEastAsia"/>
                <w:b/>
                <w:bCs/>
                <w:color w:val="auto"/>
                <w:kern w:val="0"/>
                <w:szCs w:val="21"/>
                <w:highlight w:val="none"/>
              </w:rPr>
            </w:pPr>
            <w:r>
              <w:rPr>
                <w:rFonts w:hint="eastAsia" w:cs="宋体" w:asciiTheme="minorEastAsia" w:hAnsiTheme="minorEastAsia" w:eastAsiaTheme="minorEastAsia"/>
                <w:b/>
                <w:bCs/>
                <w:color w:val="auto"/>
                <w:kern w:val="0"/>
                <w:szCs w:val="21"/>
                <w:highlight w:val="none"/>
              </w:rPr>
              <w:t>二、招标商务需求</w:t>
            </w:r>
          </w:p>
          <w:tbl>
            <w:tblPr>
              <w:tblStyle w:val="16"/>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17"/>
              <w:gridCol w:w="1583"/>
              <w:gridCol w:w="5830"/>
            </w:tblGrid>
            <w:tr w14:paraId="095F52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705" w:type="pct"/>
                  <w:vAlign w:val="center"/>
                </w:tcPr>
                <w:p w14:paraId="5AA4733C">
                  <w:pPr>
                    <w:jc w:val="center"/>
                    <w:rPr>
                      <w:rFonts w:asciiTheme="minorEastAsia" w:hAnsiTheme="minorEastAsia" w:eastAsiaTheme="minorEastAsia"/>
                      <w:b/>
                      <w:color w:val="auto"/>
                      <w:szCs w:val="21"/>
                      <w:highlight w:val="none"/>
                    </w:rPr>
                  </w:pPr>
                  <w:r>
                    <w:rPr>
                      <w:rFonts w:hint="eastAsia" w:asciiTheme="minorEastAsia" w:hAnsiTheme="minorEastAsia" w:eastAsiaTheme="minorEastAsia"/>
                      <w:b/>
                      <w:color w:val="auto"/>
                      <w:szCs w:val="21"/>
                      <w:highlight w:val="none"/>
                    </w:rPr>
                    <w:t>序号</w:t>
                  </w:r>
                </w:p>
              </w:tc>
              <w:tc>
                <w:tcPr>
                  <w:tcW w:w="917" w:type="pct"/>
                  <w:vAlign w:val="center"/>
                </w:tcPr>
                <w:p w14:paraId="6303AF34">
                  <w:pPr>
                    <w:jc w:val="center"/>
                    <w:rPr>
                      <w:rFonts w:asciiTheme="minorEastAsia" w:hAnsiTheme="minorEastAsia" w:eastAsiaTheme="minorEastAsia"/>
                      <w:b/>
                      <w:color w:val="auto"/>
                      <w:szCs w:val="21"/>
                      <w:highlight w:val="none"/>
                    </w:rPr>
                  </w:pPr>
                  <w:r>
                    <w:rPr>
                      <w:rFonts w:hint="eastAsia" w:asciiTheme="minorEastAsia" w:hAnsiTheme="minorEastAsia" w:eastAsiaTheme="minorEastAsia"/>
                      <w:b/>
                      <w:color w:val="auto"/>
                      <w:szCs w:val="21"/>
                      <w:highlight w:val="none"/>
                    </w:rPr>
                    <w:t>目录</w:t>
                  </w:r>
                </w:p>
              </w:tc>
              <w:tc>
                <w:tcPr>
                  <w:tcW w:w="3377" w:type="pct"/>
                  <w:vAlign w:val="center"/>
                </w:tcPr>
                <w:p w14:paraId="20E19C1D">
                  <w:pPr>
                    <w:jc w:val="center"/>
                    <w:rPr>
                      <w:rFonts w:asciiTheme="minorEastAsia" w:hAnsiTheme="minorEastAsia" w:eastAsiaTheme="minorEastAsia"/>
                      <w:b/>
                      <w:color w:val="auto"/>
                      <w:szCs w:val="21"/>
                      <w:highlight w:val="none"/>
                    </w:rPr>
                  </w:pPr>
                  <w:r>
                    <w:rPr>
                      <w:rFonts w:hint="eastAsia" w:asciiTheme="minorEastAsia" w:hAnsiTheme="minorEastAsia" w:eastAsiaTheme="minorEastAsia"/>
                      <w:b/>
                      <w:color w:val="auto"/>
                      <w:szCs w:val="21"/>
                      <w:highlight w:val="none"/>
                    </w:rPr>
                    <w:t>招标商务需求</w:t>
                  </w:r>
                </w:p>
              </w:tc>
            </w:tr>
            <w:tr w14:paraId="3E9E61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5000" w:type="pct"/>
                  <w:gridSpan w:val="3"/>
                </w:tcPr>
                <w:p w14:paraId="46A68B0C">
                  <w:pPr>
                    <w:rPr>
                      <w:rFonts w:asciiTheme="minorEastAsia" w:hAnsiTheme="minorEastAsia" w:eastAsiaTheme="minorEastAsia"/>
                      <w:b/>
                      <w:color w:val="auto"/>
                      <w:szCs w:val="21"/>
                      <w:highlight w:val="none"/>
                    </w:rPr>
                  </w:pPr>
                  <w:r>
                    <w:rPr>
                      <w:rFonts w:hint="eastAsia" w:asciiTheme="minorEastAsia" w:hAnsiTheme="minorEastAsia" w:eastAsiaTheme="minorEastAsia"/>
                      <w:b/>
                      <w:color w:val="auto"/>
                      <w:szCs w:val="21"/>
                      <w:highlight w:val="none"/>
                    </w:rPr>
                    <w:t>（一）免费保修期内售后服务要求</w:t>
                  </w:r>
                </w:p>
              </w:tc>
            </w:tr>
            <w:tr w14:paraId="1A8490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705" w:type="pct"/>
                  <w:vAlign w:val="center"/>
                </w:tcPr>
                <w:p w14:paraId="54BF7D4E">
                  <w:pPr>
                    <w:jc w:val="center"/>
                    <w:rPr>
                      <w:rFonts w:asciiTheme="minorEastAsia" w:hAnsiTheme="minorEastAsia" w:eastAsiaTheme="minorEastAsia"/>
                      <w:b/>
                      <w:color w:val="auto"/>
                      <w:szCs w:val="21"/>
                      <w:highlight w:val="none"/>
                    </w:rPr>
                  </w:pPr>
                  <w:r>
                    <w:rPr>
                      <w:rFonts w:hint="eastAsia" w:asciiTheme="minorEastAsia" w:hAnsiTheme="minorEastAsia" w:eastAsiaTheme="minorEastAsia"/>
                      <w:b/>
                      <w:color w:val="auto"/>
                      <w:szCs w:val="21"/>
                      <w:highlight w:val="none"/>
                    </w:rPr>
                    <w:t>1</w:t>
                  </w:r>
                </w:p>
              </w:tc>
              <w:tc>
                <w:tcPr>
                  <w:tcW w:w="917" w:type="pct"/>
                </w:tcPr>
                <w:p w14:paraId="6E83CFC8">
                  <w:pPr>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维修响应及故障解决时间</w:t>
                  </w:r>
                </w:p>
              </w:tc>
              <w:tc>
                <w:tcPr>
                  <w:tcW w:w="3377" w:type="pct"/>
                </w:tcPr>
                <w:p w14:paraId="0CAE3977">
                  <w:pPr>
                    <w:rPr>
                      <w:rFonts w:asciiTheme="minorEastAsia" w:hAnsiTheme="minorEastAsia" w:eastAsiaTheme="minorEastAsia"/>
                      <w:b/>
                      <w:color w:val="auto"/>
                      <w:szCs w:val="21"/>
                      <w:highlight w:val="none"/>
                    </w:rPr>
                  </w:pPr>
                  <w:r>
                    <w:rPr>
                      <w:rFonts w:hint="eastAsia" w:ascii="宋体" w:hAnsi="宋体" w:cs="宋体"/>
                      <w:color w:val="auto"/>
                      <w:szCs w:val="21"/>
                      <w:highlight w:val="none"/>
                    </w:rPr>
                    <w:t>由设备制造商</w:t>
                  </w:r>
                  <w:r>
                    <w:rPr>
                      <w:rFonts w:hint="eastAsia" w:ascii="宋体" w:hAnsi="宋体" w:cs="宋体"/>
                      <w:color w:val="auto"/>
                      <w:szCs w:val="21"/>
                      <w:highlight w:val="none"/>
                      <w:lang w:eastAsia="zh-CN"/>
                    </w:rPr>
                    <w:t>或制造商授权认可的代理商</w:t>
                  </w:r>
                  <w:r>
                    <w:rPr>
                      <w:rFonts w:hint="eastAsia" w:ascii="宋体" w:hAnsi="宋体" w:cs="宋体"/>
                      <w:color w:val="auto"/>
                      <w:szCs w:val="21"/>
                      <w:highlight w:val="none"/>
                    </w:rPr>
                    <w:t>提供售后服务</w:t>
                  </w:r>
                  <w:r>
                    <w:rPr>
                      <w:rFonts w:hint="eastAsia" w:ascii="宋体" w:hAnsi="宋体" w:cs="宋体"/>
                      <w:color w:val="auto"/>
                      <w:szCs w:val="21"/>
                      <w:highlight w:val="none"/>
                      <w:lang w:eastAsia="zh-CN"/>
                    </w:rPr>
                    <w:t>，</w:t>
                  </w:r>
                  <w:r>
                    <w:rPr>
                      <w:rFonts w:hint="eastAsia" w:asciiTheme="minorEastAsia" w:hAnsiTheme="minorEastAsia" w:eastAsiaTheme="minorEastAsia"/>
                      <w:bCs/>
                      <w:color w:val="auto"/>
                      <w:szCs w:val="21"/>
                      <w:highlight w:val="none"/>
                    </w:rPr>
                    <w:t>在保修期内，一旦发生质量问题，投标人保证在接到通知</w:t>
                  </w:r>
                  <w:r>
                    <w:rPr>
                      <w:rFonts w:hint="eastAsia" w:ascii="宋体" w:hAnsi="宋体" w:eastAsia="宋体" w:cs="宋体"/>
                      <w:color w:val="auto"/>
                      <w:sz w:val="21"/>
                      <w:szCs w:val="21"/>
                      <w:highlight w:val="none"/>
                      <w:lang w:val="en-US" w:eastAsia="zh-CN"/>
                    </w:rPr>
                    <w:t>2</w:t>
                  </w:r>
                  <w:r>
                    <w:rPr>
                      <w:rFonts w:hint="eastAsia" w:ascii="宋体" w:hAnsi="宋体" w:eastAsia="宋体" w:cs="宋体"/>
                      <w:color w:val="auto"/>
                      <w:sz w:val="21"/>
                      <w:szCs w:val="21"/>
                      <w:highlight w:val="none"/>
                    </w:rPr>
                    <w:t>小时内响应， 24 小时维修到位（不可抗力情况除外）。消耗品和零配件供应及时。</w:t>
                  </w:r>
                </w:p>
              </w:tc>
            </w:tr>
            <w:tr w14:paraId="0C7D85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705" w:type="pct"/>
                  <w:vAlign w:val="center"/>
                </w:tcPr>
                <w:p w14:paraId="0D15E8C6">
                  <w:pPr>
                    <w:jc w:val="center"/>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2</w:t>
                  </w:r>
                </w:p>
              </w:tc>
              <w:tc>
                <w:tcPr>
                  <w:tcW w:w="917" w:type="pct"/>
                </w:tcPr>
                <w:p w14:paraId="6D3D293D">
                  <w:pPr>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关于保修期</w:t>
                  </w:r>
                </w:p>
              </w:tc>
              <w:tc>
                <w:tcPr>
                  <w:tcW w:w="3377" w:type="pct"/>
                </w:tcPr>
                <w:p w14:paraId="1721098E">
                  <w:pPr>
                    <w:rPr>
                      <w:rFonts w:asciiTheme="minorEastAsia" w:hAnsiTheme="minorEastAsia" w:eastAsiaTheme="minorEastAsia"/>
                      <w:b/>
                      <w:color w:val="auto"/>
                      <w:szCs w:val="21"/>
                      <w:highlight w:val="none"/>
                    </w:rPr>
                  </w:pPr>
                  <w:r>
                    <w:rPr>
                      <w:rFonts w:hint="eastAsia" w:cs="宋体" w:asciiTheme="minorEastAsia" w:hAnsiTheme="minorEastAsia" w:eastAsiaTheme="minorEastAsia"/>
                      <w:b/>
                      <w:color w:val="auto"/>
                      <w:szCs w:val="21"/>
                      <w:highlight w:val="none"/>
                    </w:rPr>
                    <w:t>★</w:t>
                  </w:r>
                  <w:r>
                    <w:rPr>
                      <w:rFonts w:hint="eastAsia" w:asciiTheme="minorEastAsia" w:hAnsiTheme="minorEastAsia" w:eastAsiaTheme="minorEastAsia"/>
                      <w:bCs/>
                      <w:color w:val="auto"/>
                      <w:szCs w:val="21"/>
                      <w:highlight w:val="none"/>
                    </w:rPr>
                    <w:t>货物免费保修期</w:t>
                  </w:r>
                  <w:r>
                    <w:rPr>
                      <w:rFonts w:hint="eastAsia" w:asciiTheme="minorEastAsia" w:hAnsiTheme="minorEastAsia" w:eastAsiaTheme="minorEastAsia"/>
                      <w:bCs/>
                      <w:color w:val="auto"/>
                      <w:szCs w:val="21"/>
                      <w:highlight w:val="none"/>
                      <w:u w:val="single"/>
                    </w:rPr>
                    <w:t xml:space="preserve">  </w:t>
                  </w:r>
                  <w:r>
                    <w:rPr>
                      <w:rFonts w:hint="eastAsia" w:asciiTheme="minorEastAsia" w:hAnsiTheme="minorEastAsia" w:eastAsiaTheme="minorEastAsia"/>
                      <w:bCs/>
                      <w:color w:val="auto"/>
                      <w:szCs w:val="21"/>
                      <w:highlight w:val="none"/>
                      <w:u w:val="single"/>
                      <w:lang w:val="en-US" w:eastAsia="zh-CN"/>
                    </w:rPr>
                    <w:t>终身维护</w:t>
                  </w:r>
                  <w:r>
                    <w:rPr>
                      <w:rFonts w:hint="eastAsia" w:asciiTheme="minorEastAsia" w:hAnsiTheme="minorEastAsia" w:eastAsiaTheme="minorEastAsia"/>
                      <w:bCs/>
                      <w:color w:val="auto"/>
                      <w:szCs w:val="21"/>
                      <w:highlight w:val="none"/>
                      <w:u w:val="single"/>
                    </w:rPr>
                    <w:t xml:space="preserve">  </w:t>
                  </w:r>
                  <w:r>
                    <w:rPr>
                      <w:rFonts w:hint="eastAsia" w:asciiTheme="minorEastAsia" w:hAnsiTheme="minorEastAsia" w:eastAsiaTheme="minorEastAsia"/>
                      <w:bCs/>
                      <w:color w:val="auto"/>
                      <w:szCs w:val="21"/>
                      <w:highlight w:val="none"/>
                    </w:rPr>
                    <w:t>，时间自最终验收合格并交付使用之日起计算。</w:t>
                  </w:r>
                </w:p>
              </w:tc>
            </w:tr>
            <w:tr w14:paraId="6F30E6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705" w:type="pct"/>
                  <w:vAlign w:val="center"/>
                </w:tcPr>
                <w:p w14:paraId="1CEA3BA1">
                  <w:pPr>
                    <w:jc w:val="center"/>
                    <w:rPr>
                      <w:rFonts w:hint="eastAsia" w:asciiTheme="minorEastAsia" w:hAnsiTheme="minorEastAsia" w:eastAsiaTheme="minorEastAsia"/>
                      <w:color w:val="auto"/>
                      <w:szCs w:val="21"/>
                      <w:highlight w:val="none"/>
                      <w:lang w:val="en-US" w:eastAsia="zh-CN"/>
                    </w:rPr>
                  </w:pPr>
                  <w:r>
                    <w:rPr>
                      <w:rFonts w:hint="eastAsia" w:asciiTheme="minorEastAsia" w:hAnsiTheme="minorEastAsia" w:eastAsiaTheme="minorEastAsia"/>
                      <w:color w:val="auto"/>
                      <w:szCs w:val="21"/>
                      <w:highlight w:val="none"/>
                      <w:lang w:val="en-US" w:eastAsia="zh-CN"/>
                    </w:rPr>
                    <w:t>3</w:t>
                  </w:r>
                </w:p>
              </w:tc>
              <w:tc>
                <w:tcPr>
                  <w:tcW w:w="917" w:type="pct"/>
                </w:tcPr>
                <w:p w14:paraId="721DA8BF">
                  <w:pPr>
                    <w:rPr>
                      <w:rFonts w:hint="eastAsia" w:asciiTheme="minorEastAsia" w:hAnsiTheme="minorEastAsia" w:eastAsiaTheme="minorEastAsia"/>
                      <w:color w:val="auto"/>
                      <w:szCs w:val="21"/>
                      <w:highlight w:val="none"/>
                      <w:lang w:eastAsia="zh-CN"/>
                    </w:rPr>
                  </w:pPr>
                  <w:r>
                    <w:rPr>
                      <w:rFonts w:hint="eastAsia" w:asciiTheme="minorEastAsia" w:hAnsiTheme="minorEastAsia" w:eastAsiaTheme="minorEastAsia"/>
                      <w:color w:val="auto"/>
                      <w:szCs w:val="21"/>
                      <w:highlight w:val="none"/>
                    </w:rPr>
                    <w:t>关于保修期</w:t>
                  </w:r>
                  <w:r>
                    <w:rPr>
                      <w:rFonts w:hint="eastAsia" w:asciiTheme="minorEastAsia" w:hAnsiTheme="minorEastAsia" w:eastAsiaTheme="minorEastAsia"/>
                      <w:color w:val="auto"/>
                      <w:szCs w:val="21"/>
                      <w:highlight w:val="none"/>
                      <w:lang w:eastAsia="zh-CN"/>
                    </w:rPr>
                    <w:t>内服务</w:t>
                  </w:r>
                </w:p>
              </w:tc>
              <w:tc>
                <w:tcPr>
                  <w:tcW w:w="3377" w:type="pct"/>
                </w:tcPr>
                <w:p w14:paraId="258BA098">
                  <w:pPr>
                    <w:rPr>
                      <w:rFonts w:asciiTheme="minorEastAsia" w:hAnsiTheme="minorEastAsia" w:eastAsiaTheme="minorEastAsia"/>
                      <w:bCs/>
                      <w:color w:val="auto"/>
                      <w:szCs w:val="21"/>
                      <w:highlight w:val="none"/>
                    </w:rPr>
                  </w:pPr>
                  <w:r>
                    <w:rPr>
                      <w:rFonts w:hint="eastAsia" w:ascii="宋体" w:hAnsi="宋体" w:eastAsia="宋体" w:cs="宋体"/>
                      <w:color w:val="auto"/>
                      <w:sz w:val="21"/>
                      <w:szCs w:val="21"/>
                      <w:highlight w:val="none"/>
                    </w:rPr>
                    <w:t xml:space="preserve">保修期内,年度定期预防性维护保养次数应不少于 </w:t>
                  </w:r>
                  <w:r>
                    <w:rPr>
                      <w:rFonts w:hint="eastAsia" w:ascii="宋体" w:hAnsi="宋体" w:eastAsia="宋体" w:cs="宋体"/>
                      <w:color w:val="auto"/>
                      <w:sz w:val="21"/>
                      <w:szCs w:val="21"/>
                      <w:highlight w:val="none"/>
                      <w:lang w:val="en-US" w:eastAsia="zh-CN"/>
                    </w:rPr>
                    <w:t>4</w:t>
                  </w:r>
                  <w:r>
                    <w:rPr>
                      <w:rFonts w:hint="eastAsia" w:ascii="宋体" w:hAnsi="宋体" w:eastAsia="宋体" w:cs="宋体"/>
                      <w:color w:val="auto"/>
                      <w:sz w:val="21"/>
                      <w:szCs w:val="21"/>
                      <w:highlight w:val="none"/>
                    </w:rPr>
                    <w:t xml:space="preserve"> 次。保修期内免费更换零配件、免工时费。</w:t>
                  </w:r>
                </w:p>
              </w:tc>
            </w:tr>
            <w:tr w14:paraId="0E1E0B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705" w:type="pct"/>
                  <w:vAlign w:val="center"/>
                </w:tcPr>
                <w:p w14:paraId="6052452C">
                  <w:pPr>
                    <w:jc w:val="center"/>
                    <w:rPr>
                      <w:rFonts w:hint="default" w:asciiTheme="minorEastAsia" w:hAnsiTheme="minorEastAsia" w:eastAsiaTheme="minorEastAsia"/>
                      <w:color w:val="auto"/>
                      <w:szCs w:val="21"/>
                      <w:highlight w:val="none"/>
                      <w:lang w:val="en-US" w:eastAsia="zh-CN"/>
                    </w:rPr>
                  </w:pPr>
                  <w:r>
                    <w:rPr>
                      <w:rFonts w:hint="eastAsia" w:asciiTheme="minorEastAsia" w:hAnsiTheme="minorEastAsia" w:eastAsiaTheme="minorEastAsia"/>
                      <w:color w:val="auto"/>
                      <w:szCs w:val="21"/>
                      <w:highlight w:val="none"/>
                      <w:lang w:val="en-US" w:eastAsia="zh-CN"/>
                    </w:rPr>
                    <w:t>4</w:t>
                  </w:r>
                </w:p>
              </w:tc>
              <w:tc>
                <w:tcPr>
                  <w:tcW w:w="917" w:type="pct"/>
                </w:tcPr>
                <w:p w14:paraId="7C61EBD2">
                  <w:pPr>
                    <w:rPr>
                      <w:rFonts w:hint="eastAsia" w:asciiTheme="minorEastAsia" w:hAnsiTheme="minorEastAsia" w:eastAsiaTheme="minorEastAsia"/>
                      <w:color w:val="auto"/>
                      <w:szCs w:val="21"/>
                      <w:highlight w:val="none"/>
                      <w:lang w:eastAsia="zh-CN"/>
                    </w:rPr>
                  </w:pPr>
                  <w:r>
                    <w:rPr>
                      <w:rFonts w:hint="eastAsia" w:asciiTheme="minorEastAsia" w:hAnsiTheme="minorEastAsia" w:eastAsiaTheme="minorEastAsia"/>
                      <w:color w:val="auto"/>
                      <w:szCs w:val="21"/>
                      <w:highlight w:val="none"/>
                      <w:lang w:eastAsia="zh-CN"/>
                    </w:rPr>
                    <w:t>关于维修配件及软件升级</w:t>
                  </w:r>
                </w:p>
              </w:tc>
              <w:tc>
                <w:tcPr>
                  <w:tcW w:w="3377" w:type="pct"/>
                </w:tcPr>
                <w:p w14:paraId="34E84D87">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投标人负责货物的终身维修，保证 </w:t>
                  </w:r>
                  <w:r>
                    <w:rPr>
                      <w:rFonts w:hint="eastAsia" w:ascii="宋体" w:hAnsi="宋体" w:cs="宋体"/>
                      <w:color w:val="auto"/>
                      <w:sz w:val="21"/>
                      <w:szCs w:val="21"/>
                      <w:highlight w:val="none"/>
                      <w:lang w:val="en-US" w:eastAsia="zh-CN"/>
                    </w:rPr>
                    <w:t>5</w:t>
                  </w:r>
                  <w:r>
                    <w:rPr>
                      <w:rFonts w:hint="eastAsia" w:ascii="宋体" w:hAnsi="宋体" w:eastAsia="宋体" w:cs="宋体"/>
                      <w:color w:val="auto"/>
                      <w:sz w:val="21"/>
                      <w:szCs w:val="21"/>
                      <w:highlight w:val="none"/>
                    </w:rPr>
                    <w:t xml:space="preserve"> 年以上供应维修配件， 5 年内免费提供软件升级服务。</w:t>
                  </w:r>
                </w:p>
              </w:tc>
            </w:tr>
            <w:tr w14:paraId="278F53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705" w:type="pct"/>
                  <w:vAlign w:val="center"/>
                </w:tcPr>
                <w:p w14:paraId="679079C3">
                  <w:pPr>
                    <w:jc w:val="center"/>
                    <w:rPr>
                      <w:rFonts w:hint="default" w:asciiTheme="minorEastAsia" w:hAnsiTheme="minorEastAsia" w:eastAsiaTheme="minorEastAsia"/>
                      <w:color w:val="auto"/>
                      <w:szCs w:val="21"/>
                      <w:highlight w:val="none"/>
                      <w:lang w:val="en-US" w:eastAsia="zh-CN"/>
                    </w:rPr>
                  </w:pPr>
                  <w:r>
                    <w:rPr>
                      <w:rFonts w:hint="eastAsia" w:asciiTheme="minorEastAsia" w:hAnsiTheme="minorEastAsia" w:eastAsiaTheme="minorEastAsia"/>
                      <w:color w:val="auto"/>
                      <w:szCs w:val="21"/>
                      <w:highlight w:val="none"/>
                      <w:lang w:val="en-US" w:eastAsia="zh-CN"/>
                    </w:rPr>
                    <w:t>5</w:t>
                  </w:r>
                </w:p>
              </w:tc>
              <w:tc>
                <w:tcPr>
                  <w:tcW w:w="917" w:type="pct"/>
                </w:tcPr>
                <w:p w14:paraId="39B8D0F7">
                  <w:pPr>
                    <w:rPr>
                      <w:rFonts w:hint="eastAsia" w:asciiTheme="minorEastAsia" w:hAnsiTheme="minorEastAsia" w:eastAsiaTheme="minorEastAsia"/>
                      <w:color w:val="auto"/>
                      <w:szCs w:val="21"/>
                      <w:highlight w:val="none"/>
                      <w:lang w:eastAsia="zh-CN"/>
                    </w:rPr>
                  </w:pPr>
                  <w:r>
                    <w:rPr>
                      <w:rFonts w:hint="eastAsia" w:asciiTheme="minorEastAsia" w:hAnsiTheme="minorEastAsia" w:eastAsiaTheme="minorEastAsia"/>
                      <w:color w:val="auto"/>
                      <w:szCs w:val="21"/>
                      <w:highlight w:val="none"/>
                      <w:lang w:eastAsia="zh-CN"/>
                    </w:rPr>
                    <w:t>关于设备设计使用年限</w:t>
                  </w:r>
                </w:p>
              </w:tc>
              <w:tc>
                <w:tcPr>
                  <w:tcW w:w="3377" w:type="pct"/>
                </w:tcPr>
                <w:p w14:paraId="6563C29F">
                  <w:pPr>
                    <w:rPr>
                      <w:rFonts w:hint="eastAsia" w:ascii="宋体" w:hAnsi="宋体" w:eastAsia="宋体" w:cs="宋体"/>
                      <w:color w:val="auto"/>
                      <w:sz w:val="21"/>
                      <w:szCs w:val="21"/>
                      <w:highlight w:val="none"/>
                      <w:lang w:eastAsia="zh-CN"/>
                    </w:rPr>
                  </w:pPr>
                  <w:r>
                    <w:rPr>
                      <w:rFonts w:hint="eastAsia" w:cs="宋体" w:asciiTheme="minorEastAsia" w:hAnsiTheme="minorEastAsia" w:eastAsiaTheme="minorEastAsia"/>
                      <w:b/>
                      <w:color w:val="auto"/>
                      <w:szCs w:val="21"/>
                      <w:highlight w:val="none"/>
                    </w:rPr>
                    <w:t>★</w:t>
                  </w:r>
                  <w:r>
                    <w:rPr>
                      <w:rFonts w:hint="eastAsia" w:ascii="宋体" w:hAnsi="宋体" w:cs="宋体"/>
                      <w:color w:val="auto"/>
                      <w:szCs w:val="21"/>
                      <w:highlight w:val="none"/>
                    </w:rPr>
                    <w:t>投标人提供的仪器设备</w:t>
                  </w:r>
                  <w:r>
                    <w:rPr>
                      <w:rFonts w:hint="eastAsia" w:ascii="宋体" w:hAnsi="宋体" w:cs="宋体"/>
                      <w:color w:val="auto"/>
                      <w:szCs w:val="21"/>
                      <w:highlight w:val="none"/>
                      <w:lang w:eastAsia="zh-CN"/>
                    </w:rPr>
                    <w:t>属于医疗器械的，其</w:t>
                  </w:r>
                  <w:r>
                    <w:rPr>
                      <w:rFonts w:hint="eastAsia" w:ascii="宋体" w:hAnsi="宋体" w:cs="宋体"/>
                      <w:color w:val="auto"/>
                      <w:szCs w:val="21"/>
                      <w:highlight w:val="none"/>
                    </w:rPr>
                    <w:t>设计使用年限≥</w:t>
                  </w:r>
                  <w:r>
                    <w:rPr>
                      <w:rFonts w:hint="eastAsia" w:ascii="宋体" w:hAnsi="宋体" w:cs="宋体"/>
                      <w:color w:val="auto"/>
                      <w:szCs w:val="21"/>
                      <w:highlight w:val="none"/>
                      <w:lang w:val="en-US" w:eastAsia="zh-CN"/>
                    </w:rPr>
                    <w:t>5</w:t>
                  </w:r>
                  <w:r>
                    <w:rPr>
                      <w:rFonts w:hint="eastAsia" w:ascii="宋体" w:hAnsi="宋体" w:cs="宋体"/>
                      <w:color w:val="auto"/>
                      <w:szCs w:val="21"/>
                      <w:highlight w:val="none"/>
                    </w:rPr>
                    <w:t>年。</w:t>
                  </w:r>
                  <w:r>
                    <w:rPr>
                      <w:rFonts w:hint="eastAsia" w:ascii="宋体" w:hAnsi="宋体" w:cs="宋体"/>
                      <w:b/>
                      <w:bCs/>
                      <w:color w:val="auto"/>
                      <w:szCs w:val="21"/>
                      <w:highlight w:val="none"/>
                    </w:rPr>
                    <w:t>【设计年限需提供设备说明书或由厂家盖章的说明函进行佐证（格式自拟）】</w:t>
                  </w:r>
                  <w:r>
                    <w:rPr>
                      <w:rFonts w:hint="eastAsia" w:ascii="宋体" w:hAnsi="宋体" w:cs="宋体"/>
                      <w:b/>
                      <w:bCs/>
                      <w:color w:val="auto"/>
                      <w:szCs w:val="21"/>
                      <w:highlight w:val="none"/>
                      <w:lang w:eastAsia="zh-CN"/>
                    </w:rPr>
                    <w:t>，非医疗器械则无需提供。</w:t>
                  </w:r>
                </w:p>
              </w:tc>
            </w:tr>
            <w:tr w14:paraId="13290D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705" w:type="pct"/>
                  <w:vAlign w:val="center"/>
                </w:tcPr>
                <w:p w14:paraId="633952F5">
                  <w:pPr>
                    <w:jc w:val="center"/>
                    <w:rPr>
                      <w:rFonts w:hint="default" w:asciiTheme="minorEastAsia" w:hAnsiTheme="minorEastAsia" w:eastAsiaTheme="minorEastAsia"/>
                      <w:color w:val="auto"/>
                      <w:szCs w:val="21"/>
                      <w:highlight w:val="none"/>
                      <w:lang w:val="en-US" w:eastAsia="zh-CN"/>
                    </w:rPr>
                  </w:pPr>
                  <w:r>
                    <w:rPr>
                      <w:rFonts w:hint="eastAsia" w:asciiTheme="minorEastAsia" w:hAnsiTheme="minorEastAsia" w:eastAsiaTheme="minorEastAsia"/>
                      <w:color w:val="auto"/>
                      <w:szCs w:val="21"/>
                      <w:highlight w:val="none"/>
                      <w:lang w:val="en-US" w:eastAsia="zh-CN"/>
                    </w:rPr>
                    <w:t>6</w:t>
                  </w:r>
                </w:p>
              </w:tc>
              <w:tc>
                <w:tcPr>
                  <w:tcW w:w="917" w:type="pct"/>
                </w:tcPr>
                <w:p w14:paraId="30F8EE68">
                  <w:pPr>
                    <w:rPr>
                      <w:rFonts w:hint="eastAsia" w:asciiTheme="minorEastAsia" w:hAnsiTheme="minorEastAsia" w:eastAsiaTheme="minorEastAsia"/>
                      <w:color w:val="auto"/>
                      <w:szCs w:val="21"/>
                      <w:highlight w:val="none"/>
                      <w:lang w:eastAsia="zh-CN"/>
                    </w:rPr>
                  </w:pPr>
                  <w:r>
                    <w:rPr>
                      <w:rFonts w:hint="eastAsia" w:asciiTheme="minorEastAsia" w:hAnsiTheme="minorEastAsia" w:eastAsiaTheme="minorEastAsia"/>
                      <w:color w:val="auto"/>
                      <w:szCs w:val="21"/>
                      <w:highlight w:val="none"/>
                      <w:lang w:eastAsia="zh-CN"/>
                    </w:rPr>
                    <w:t>关于设备生产日期</w:t>
                  </w:r>
                </w:p>
              </w:tc>
              <w:tc>
                <w:tcPr>
                  <w:tcW w:w="3377" w:type="pct"/>
                </w:tcPr>
                <w:p w14:paraId="6FD668A8">
                  <w:pPr>
                    <w:rPr>
                      <w:rFonts w:hint="eastAsia" w:ascii="宋体" w:hAnsi="宋体" w:cs="宋体"/>
                      <w:color w:val="auto"/>
                      <w:szCs w:val="21"/>
                      <w:highlight w:val="none"/>
                    </w:rPr>
                  </w:pPr>
                  <w:r>
                    <w:rPr>
                      <w:rFonts w:hint="eastAsia" w:cs="宋体" w:asciiTheme="minorEastAsia" w:hAnsiTheme="minorEastAsia" w:eastAsiaTheme="minorEastAsia"/>
                      <w:b/>
                      <w:color w:val="auto"/>
                      <w:szCs w:val="21"/>
                      <w:highlight w:val="none"/>
                    </w:rPr>
                    <w:t>★</w:t>
                  </w:r>
                  <w:r>
                    <w:rPr>
                      <w:rFonts w:hint="eastAsia" w:ascii="宋体" w:hAnsi="宋体" w:cs="宋体"/>
                      <w:color w:val="auto"/>
                      <w:szCs w:val="21"/>
                      <w:highlight w:val="none"/>
                    </w:rPr>
                    <w:t>投标人提供的仪器设备的生产日期必须在</w:t>
                  </w:r>
                  <w:r>
                    <w:rPr>
                      <w:rFonts w:hint="eastAsia" w:ascii="宋体" w:hAnsi="宋体" w:cs="宋体"/>
                      <w:color w:val="auto"/>
                      <w:szCs w:val="21"/>
                      <w:highlight w:val="none"/>
                      <w:lang w:val="en-US" w:eastAsia="zh-CN"/>
                    </w:rPr>
                    <w:t>1</w:t>
                  </w:r>
                  <w:r>
                    <w:rPr>
                      <w:rFonts w:hint="eastAsia" w:ascii="宋体" w:hAnsi="宋体" w:cs="宋体"/>
                      <w:color w:val="auto"/>
                      <w:szCs w:val="21"/>
                      <w:highlight w:val="none"/>
                    </w:rPr>
                    <w:t>年内生产</w:t>
                  </w:r>
                  <w:r>
                    <w:rPr>
                      <w:rFonts w:hint="eastAsia" w:ascii="宋体" w:hAnsi="宋体" w:cs="宋体"/>
                      <w:color w:val="auto"/>
                      <w:szCs w:val="21"/>
                      <w:highlight w:val="none"/>
                      <w:lang w:eastAsia="zh-CN"/>
                    </w:rPr>
                    <w:t>，</w:t>
                  </w:r>
                  <w:r>
                    <w:rPr>
                      <w:rFonts w:hint="eastAsia" w:asciiTheme="minorEastAsia" w:hAnsiTheme="minorEastAsia" w:eastAsiaTheme="minorEastAsia"/>
                      <w:bCs/>
                      <w:color w:val="auto"/>
                      <w:szCs w:val="21"/>
                      <w:highlight w:val="none"/>
                    </w:rPr>
                    <w:t>时间自</w:t>
                  </w:r>
                  <w:r>
                    <w:rPr>
                      <w:rFonts w:hint="eastAsia" w:asciiTheme="minorEastAsia" w:hAnsiTheme="minorEastAsia" w:eastAsiaTheme="minorEastAsia"/>
                      <w:bCs/>
                      <w:color w:val="auto"/>
                      <w:szCs w:val="21"/>
                      <w:highlight w:val="none"/>
                      <w:lang w:eastAsia="zh-CN"/>
                    </w:rPr>
                    <w:t>设备到货日期起算</w:t>
                  </w:r>
                  <w:r>
                    <w:rPr>
                      <w:rFonts w:hint="eastAsia" w:ascii="宋体" w:hAnsi="宋体" w:cs="宋体"/>
                      <w:color w:val="auto"/>
                      <w:szCs w:val="21"/>
                      <w:highlight w:val="none"/>
                    </w:rPr>
                    <w:t>【</w:t>
                  </w:r>
                  <w:r>
                    <w:rPr>
                      <w:rFonts w:hint="eastAsia" w:ascii="宋体" w:hAnsi="宋体" w:cs="宋体"/>
                      <w:b/>
                      <w:bCs/>
                      <w:color w:val="auto"/>
                      <w:szCs w:val="21"/>
                      <w:highlight w:val="none"/>
                    </w:rPr>
                    <w:t>生产日期需提供承诺书（格式自拟）</w:t>
                  </w:r>
                  <w:r>
                    <w:rPr>
                      <w:rFonts w:hint="eastAsia" w:ascii="宋体" w:hAnsi="宋体" w:cs="宋体"/>
                      <w:color w:val="auto"/>
                      <w:szCs w:val="21"/>
                      <w:highlight w:val="none"/>
                    </w:rPr>
                    <w:t>】</w:t>
                  </w:r>
                </w:p>
              </w:tc>
            </w:tr>
            <w:tr w14:paraId="44EC90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5" w:hRule="atLeast"/>
              </w:trPr>
              <w:tc>
                <w:tcPr>
                  <w:tcW w:w="705" w:type="pct"/>
                  <w:vAlign w:val="center"/>
                </w:tcPr>
                <w:p w14:paraId="6CEB89FC">
                  <w:pPr>
                    <w:jc w:val="center"/>
                    <w:rPr>
                      <w:rFonts w:hint="default" w:asciiTheme="minorEastAsia" w:hAnsiTheme="minorEastAsia" w:eastAsiaTheme="minorEastAsia"/>
                      <w:color w:val="auto"/>
                      <w:szCs w:val="21"/>
                      <w:highlight w:val="none"/>
                      <w:lang w:val="en-US" w:eastAsia="zh-CN"/>
                    </w:rPr>
                  </w:pPr>
                  <w:r>
                    <w:rPr>
                      <w:rFonts w:hint="eastAsia" w:asciiTheme="minorEastAsia" w:hAnsiTheme="minorEastAsia" w:eastAsiaTheme="minorEastAsia"/>
                      <w:color w:val="auto"/>
                      <w:szCs w:val="21"/>
                      <w:highlight w:val="none"/>
                      <w:lang w:val="en-US" w:eastAsia="zh-CN"/>
                    </w:rPr>
                    <w:t>7</w:t>
                  </w:r>
                </w:p>
              </w:tc>
              <w:tc>
                <w:tcPr>
                  <w:tcW w:w="917" w:type="pct"/>
                </w:tcPr>
                <w:p w14:paraId="696A18A4">
                  <w:pPr>
                    <w:rPr>
                      <w:rFonts w:hint="eastAsia" w:asciiTheme="minorEastAsia" w:hAnsiTheme="minorEastAsia" w:eastAsiaTheme="minorEastAsia"/>
                      <w:color w:val="auto"/>
                      <w:szCs w:val="21"/>
                      <w:highlight w:val="none"/>
                      <w:lang w:eastAsia="zh-CN"/>
                    </w:rPr>
                  </w:pPr>
                  <w:r>
                    <w:rPr>
                      <w:rFonts w:hint="eastAsia" w:asciiTheme="minorEastAsia" w:hAnsiTheme="minorEastAsia" w:eastAsiaTheme="minorEastAsia"/>
                      <w:color w:val="auto"/>
                      <w:szCs w:val="21"/>
                      <w:highlight w:val="none"/>
                      <w:lang w:eastAsia="zh-CN"/>
                    </w:rPr>
                    <w:t>关于配套试剂及耗材</w:t>
                  </w:r>
                </w:p>
              </w:tc>
              <w:tc>
                <w:tcPr>
                  <w:tcW w:w="3377" w:type="pct"/>
                </w:tcPr>
                <w:p w14:paraId="582CEBBF">
                  <w:pPr>
                    <w:rPr>
                      <w:rFonts w:hint="eastAsia" w:ascii="宋体" w:hAnsi="宋体" w:cs="宋体"/>
                      <w:color w:val="auto"/>
                      <w:szCs w:val="21"/>
                      <w:highlight w:val="none"/>
                    </w:rPr>
                  </w:pPr>
                  <w:r>
                    <w:rPr>
                      <w:rFonts w:hint="eastAsia" w:ascii="宋体" w:hAnsi="宋体" w:eastAsia="宋体" w:cs="宋体"/>
                      <w:b w:val="0"/>
                      <w:bCs/>
                      <w:color w:val="auto"/>
                      <w:sz w:val="21"/>
                      <w:szCs w:val="21"/>
                      <w:highlight w:val="none"/>
                    </w:rPr>
                    <w:t>★承诺</w:t>
                  </w:r>
                  <w:r>
                    <w:rPr>
                      <w:rFonts w:hint="eastAsia" w:ascii="宋体" w:hAnsi="宋体" w:eastAsia="宋体" w:cs="宋体"/>
                      <w:b w:val="0"/>
                      <w:bCs/>
                      <w:color w:val="auto"/>
                      <w:sz w:val="21"/>
                      <w:szCs w:val="21"/>
                      <w:highlight w:val="none"/>
                      <w:lang w:eastAsia="zh-CN"/>
                    </w:rPr>
                    <w:t>可</w:t>
                  </w:r>
                  <w:r>
                    <w:rPr>
                      <w:rFonts w:hint="eastAsia" w:ascii="宋体" w:hAnsi="宋体" w:eastAsia="宋体" w:cs="宋体"/>
                      <w:b w:val="0"/>
                      <w:bCs/>
                      <w:color w:val="auto"/>
                      <w:sz w:val="21"/>
                      <w:szCs w:val="21"/>
                      <w:highlight w:val="none"/>
                    </w:rPr>
                    <w:t>在深圳医用耗材阳光交易和监管平台上采购仪器配套封闭试剂及耗材，</w:t>
                  </w:r>
                  <w:r>
                    <w:rPr>
                      <w:rFonts w:hint="eastAsia" w:ascii="宋体" w:hAnsi="宋体" w:eastAsia="宋体" w:cs="宋体"/>
                      <w:sz w:val="21"/>
                      <w:szCs w:val="21"/>
                      <w:highlight w:val="none"/>
                    </w:rPr>
                    <w:t>阳光采购平台上注册为限价目录产品</w:t>
                  </w:r>
                  <w:r>
                    <w:rPr>
                      <w:rFonts w:hint="eastAsia" w:ascii="宋体" w:hAnsi="宋体" w:eastAsia="宋体" w:cs="宋体"/>
                      <w:sz w:val="21"/>
                      <w:szCs w:val="21"/>
                      <w:highlight w:val="none"/>
                      <w:lang w:eastAsia="zh-CN"/>
                    </w:rPr>
                    <w:t>，</w:t>
                  </w:r>
                  <w:r>
                    <w:rPr>
                      <w:rFonts w:hint="eastAsia" w:ascii="宋体" w:hAnsi="宋体" w:eastAsia="宋体" w:cs="宋体"/>
                      <w:b w:val="0"/>
                      <w:bCs/>
                      <w:color w:val="auto"/>
                      <w:sz w:val="21"/>
                      <w:szCs w:val="21"/>
                      <w:highlight w:val="none"/>
                    </w:rPr>
                    <w:t>并承诺提供深圳市内最低供货价</w:t>
                  </w:r>
                  <w:r>
                    <w:rPr>
                      <w:rFonts w:hint="eastAsia" w:ascii="宋体" w:hAnsi="宋体" w:cs="宋体"/>
                      <w:color w:val="auto"/>
                      <w:szCs w:val="21"/>
                      <w:highlight w:val="none"/>
                    </w:rPr>
                    <w:t>【</w:t>
                  </w:r>
                  <w:r>
                    <w:rPr>
                      <w:rFonts w:hint="eastAsia" w:ascii="宋体" w:hAnsi="宋体" w:eastAsia="宋体" w:cs="宋体"/>
                      <w:b/>
                      <w:bCs w:val="0"/>
                      <w:color w:val="auto"/>
                      <w:sz w:val="21"/>
                      <w:szCs w:val="21"/>
                      <w:highlight w:val="none"/>
                    </w:rPr>
                    <w:t>提供承诺函，</w:t>
                  </w:r>
                  <w:r>
                    <w:rPr>
                      <w:rFonts w:hint="eastAsia" w:ascii="宋体" w:hAnsi="宋体" w:cs="宋体"/>
                      <w:b/>
                      <w:bCs/>
                      <w:color w:val="auto"/>
                      <w:szCs w:val="21"/>
                      <w:highlight w:val="none"/>
                    </w:rPr>
                    <w:t>（格式自拟）</w:t>
                  </w:r>
                  <w:r>
                    <w:rPr>
                      <w:rFonts w:hint="eastAsia" w:ascii="宋体" w:hAnsi="宋体" w:cs="宋体"/>
                      <w:color w:val="auto"/>
                      <w:szCs w:val="21"/>
                      <w:highlight w:val="none"/>
                    </w:rPr>
                    <w:t>】</w:t>
                  </w:r>
                  <w:r>
                    <w:rPr>
                      <w:rFonts w:hint="eastAsia" w:ascii="宋体" w:hAnsi="宋体" w:eastAsia="宋体" w:cs="宋体"/>
                      <w:b/>
                      <w:bCs w:val="0"/>
                      <w:color w:val="auto"/>
                      <w:sz w:val="21"/>
                      <w:szCs w:val="21"/>
                      <w:highlight w:val="none"/>
                    </w:rPr>
                    <w:t>。</w:t>
                  </w:r>
                </w:p>
              </w:tc>
            </w:tr>
            <w:tr w14:paraId="73DCFC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705" w:type="pct"/>
                  <w:vAlign w:val="center"/>
                </w:tcPr>
                <w:p w14:paraId="7878D24D">
                  <w:pPr>
                    <w:jc w:val="center"/>
                    <w:rPr>
                      <w:rFonts w:hint="default" w:asciiTheme="minorEastAsia" w:hAnsiTheme="minorEastAsia" w:eastAsiaTheme="minorEastAsia"/>
                      <w:color w:val="auto"/>
                      <w:szCs w:val="21"/>
                      <w:highlight w:val="none"/>
                      <w:lang w:val="en-US" w:eastAsia="zh-CN"/>
                    </w:rPr>
                  </w:pPr>
                  <w:r>
                    <w:rPr>
                      <w:rFonts w:hint="eastAsia" w:asciiTheme="minorEastAsia" w:hAnsiTheme="minorEastAsia" w:eastAsiaTheme="minorEastAsia"/>
                      <w:color w:val="auto"/>
                      <w:szCs w:val="21"/>
                      <w:highlight w:val="none"/>
                      <w:lang w:val="en-US" w:eastAsia="zh-CN"/>
                    </w:rPr>
                    <w:t>8</w:t>
                  </w:r>
                </w:p>
              </w:tc>
              <w:tc>
                <w:tcPr>
                  <w:tcW w:w="917" w:type="pct"/>
                </w:tcPr>
                <w:p w14:paraId="4A032290">
                  <w:pPr>
                    <w:rPr>
                      <w:rFonts w:hint="eastAsia" w:asciiTheme="minorEastAsia" w:hAnsiTheme="minorEastAsia" w:eastAsiaTheme="minorEastAsia"/>
                      <w:color w:val="auto"/>
                      <w:szCs w:val="21"/>
                      <w:highlight w:val="none"/>
                      <w:lang w:eastAsia="zh-CN"/>
                    </w:rPr>
                  </w:pPr>
                  <w:r>
                    <w:rPr>
                      <w:rFonts w:hint="eastAsia" w:asciiTheme="minorEastAsia" w:hAnsiTheme="minorEastAsia" w:eastAsiaTheme="minorEastAsia"/>
                      <w:color w:val="auto"/>
                      <w:szCs w:val="21"/>
                      <w:highlight w:val="none"/>
                      <w:lang w:eastAsia="zh-CN"/>
                    </w:rPr>
                    <w:t>关于</w:t>
                  </w:r>
                  <w:r>
                    <w:rPr>
                      <w:rFonts w:hint="eastAsia" w:ascii="宋体" w:hAnsi="宋体" w:cs="宋体"/>
                      <w:bCs/>
                      <w:color w:val="auto"/>
                      <w:szCs w:val="21"/>
                      <w:highlight w:val="none"/>
                    </w:rPr>
                    <w:t>零配件、消耗品和延续保修</w:t>
                  </w:r>
                </w:p>
              </w:tc>
              <w:tc>
                <w:tcPr>
                  <w:tcW w:w="3377" w:type="pct"/>
                </w:tcPr>
                <w:p w14:paraId="1EE2836C">
                  <w:pPr>
                    <w:rPr>
                      <w:rFonts w:hint="eastAsia" w:ascii="宋体" w:hAnsi="宋体" w:cs="宋体"/>
                      <w:b/>
                      <w:bCs/>
                      <w:color w:val="auto"/>
                      <w:highlight w:val="none"/>
                    </w:rPr>
                  </w:pPr>
                  <w:r>
                    <w:rPr>
                      <w:rFonts w:hint="eastAsia" w:ascii="宋体" w:hAnsi="宋体" w:cs="宋体"/>
                      <w:bCs/>
                      <w:color w:val="auto"/>
                      <w:szCs w:val="21"/>
                      <w:highlight w:val="none"/>
                    </w:rPr>
                    <w:t>投标人应</w:t>
                  </w:r>
                  <w:r>
                    <w:rPr>
                      <w:rFonts w:hint="eastAsia" w:ascii="宋体" w:hAnsi="宋体" w:cs="宋体"/>
                      <w:bCs/>
                      <w:color w:val="auto"/>
                      <w:szCs w:val="21"/>
                      <w:highlight w:val="none"/>
                      <w:lang w:eastAsia="zh-CN"/>
                    </w:rPr>
                    <w:t>提供</w:t>
                  </w:r>
                  <w:r>
                    <w:rPr>
                      <w:rFonts w:hint="eastAsia" w:ascii="宋体" w:hAnsi="宋体" w:cs="宋体"/>
                      <w:bCs/>
                      <w:color w:val="auto"/>
                      <w:szCs w:val="21"/>
                      <w:highlight w:val="none"/>
                    </w:rPr>
                    <w:t>维修零配件、消耗品和延续保修</w:t>
                  </w:r>
                  <w:r>
                    <w:rPr>
                      <w:rFonts w:hint="eastAsia" w:ascii="宋体" w:hAnsi="宋体" w:cs="宋体"/>
                      <w:bCs/>
                      <w:color w:val="auto"/>
                      <w:szCs w:val="21"/>
                      <w:highlight w:val="none"/>
                      <w:lang w:eastAsia="zh-CN"/>
                    </w:rPr>
                    <w:t>的报价单</w:t>
                  </w:r>
                  <w:r>
                    <w:rPr>
                      <w:rFonts w:hint="eastAsia" w:ascii="宋体" w:hAnsi="宋体" w:cs="宋体"/>
                      <w:bCs/>
                      <w:color w:val="auto"/>
                      <w:szCs w:val="21"/>
                      <w:highlight w:val="none"/>
                    </w:rPr>
                    <w:t>。价格最高的前</w:t>
                  </w:r>
                  <w:r>
                    <w:rPr>
                      <w:rFonts w:hint="eastAsia" w:ascii="宋体" w:hAnsi="宋体" w:cs="宋体"/>
                      <w:bCs/>
                      <w:color w:val="auto"/>
                      <w:szCs w:val="21"/>
                      <w:highlight w:val="none"/>
                      <w:u w:val="single"/>
                    </w:rPr>
                    <w:t xml:space="preserve"> 5</w:t>
                  </w:r>
                  <w:r>
                    <w:rPr>
                      <w:rFonts w:hint="eastAsia" w:ascii="宋体" w:hAnsi="宋体" w:cs="宋体"/>
                      <w:bCs/>
                      <w:color w:val="auto"/>
                      <w:szCs w:val="21"/>
                      <w:highlight w:val="none"/>
                    </w:rPr>
                    <w:t>项零配件、消耗品和延续保修的报价明细必须填写于《零配件、消耗品和延续保修报价明细清单》中</w:t>
                  </w:r>
                  <w:r>
                    <w:rPr>
                      <w:rFonts w:hint="eastAsia" w:ascii="宋体" w:hAnsi="宋体" w:cs="宋体"/>
                      <w:bCs/>
                      <w:color w:val="auto"/>
                      <w:szCs w:val="21"/>
                      <w:highlight w:val="none"/>
                      <w:lang w:eastAsia="zh-CN"/>
                    </w:rPr>
                    <w:t>（清单格式自拟）</w:t>
                  </w:r>
                  <w:r>
                    <w:rPr>
                      <w:rFonts w:hint="eastAsia" w:ascii="宋体" w:hAnsi="宋体" w:cs="宋体"/>
                      <w:bCs/>
                      <w:color w:val="auto"/>
                      <w:szCs w:val="21"/>
                      <w:highlight w:val="none"/>
                    </w:rPr>
                    <w:t>。</w:t>
                  </w:r>
                </w:p>
              </w:tc>
            </w:tr>
            <w:tr w14:paraId="493D00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705" w:type="pct"/>
                  <w:vAlign w:val="center"/>
                </w:tcPr>
                <w:p w14:paraId="27B5EF2B">
                  <w:pPr>
                    <w:jc w:val="center"/>
                    <w:rPr>
                      <w:rFonts w:hint="default" w:asciiTheme="minorEastAsia" w:hAnsiTheme="minorEastAsia" w:eastAsiaTheme="minorEastAsia"/>
                      <w:color w:val="auto"/>
                      <w:szCs w:val="21"/>
                      <w:highlight w:val="none"/>
                      <w:lang w:val="en-US" w:eastAsia="zh-CN"/>
                    </w:rPr>
                  </w:pPr>
                  <w:r>
                    <w:rPr>
                      <w:rFonts w:hint="eastAsia" w:asciiTheme="minorEastAsia" w:hAnsiTheme="minorEastAsia" w:eastAsiaTheme="minorEastAsia"/>
                      <w:color w:val="auto"/>
                      <w:szCs w:val="21"/>
                      <w:highlight w:val="none"/>
                      <w:lang w:val="en-US" w:eastAsia="zh-CN"/>
                    </w:rPr>
                    <w:t>9</w:t>
                  </w:r>
                </w:p>
              </w:tc>
              <w:tc>
                <w:tcPr>
                  <w:tcW w:w="917" w:type="pct"/>
                </w:tcPr>
                <w:p w14:paraId="1B2C6625">
                  <w:pPr>
                    <w:rPr>
                      <w:rFonts w:hint="eastAsia" w:asciiTheme="minorEastAsia" w:hAnsiTheme="minorEastAsia" w:eastAsiaTheme="minorEastAsia"/>
                      <w:color w:val="auto"/>
                      <w:szCs w:val="21"/>
                      <w:highlight w:val="none"/>
                      <w:lang w:eastAsia="zh-CN"/>
                    </w:rPr>
                  </w:pPr>
                  <w:r>
                    <w:rPr>
                      <w:rFonts w:hint="eastAsia" w:asciiTheme="minorEastAsia" w:hAnsiTheme="minorEastAsia" w:eastAsiaTheme="minorEastAsia"/>
                      <w:color w:val="auto"/>
                      <w:szCs w:val="21"/>
                      <w:highlight w:val="none"/>
                      <w:lang w:eastAsia="zh-CN"/>
                    </w:rPr>
                    <w:t>关于设备开机率</w:t>
                  </w:r>
                </w:p>
              </w:tc>
              <w:tc>
                <w:tcPr>
                  <w:tcW w:w="3377" w:type="pct"/>
                </w:tcPr>
                <w:p w14:paraId="0503615E">
                  <w:pPr>
                    <w:spacing w:line="360" w:lineRule="auto"/>
                    <w:rPr>
                      <w:rFonts w:ascii="宋体" w:hAnsi="宋体" w:cs="宋体"/>
                      <w:bCs/>
                      <w:color w:val="auto"/>
                      <w:szCs w:val="21"/>
                      <w:highlight w:val="none"/>
                    </w:rPr>
                  </w:pPr>
                  <w:r>
                    <w:rPr>
                      <w:rFonts w:hint="eastAsia" w:ascii="宋体" w:hAnsi="宋体" w:cs="宋体"/>
                      <w:bCs/>
                      <w:color w:val="auto"/>
                      <w:szCs w:val="21"/>
                      <w:highlight w:val="none"/>
                    </w:rPr>
                    <w:t>在保修期内, 投标人应确保年开机率在95%</w:t>
                  </w:r>
                  <w:r>
                    <w:rPr>
                      <w:rFonts w:hint="eastAsia" w:ascii="宋体" w:hAnsi="宋体" w:cs="宋体"/>
                      <w:bCs/>
                      <w:color w:val="auto"/>
                      <w:szCs w:val="21"/>
                      <w:highlight w:val="none"/>
                      <w:lang w:eastAsia="zh-CN"/>
                    </w:rPr>
                    <w:t>（</w:t>
                  </w:r>
                  <w:r>
                    <w:rPr>
                      <w:rFonts w:hint="eastAsia" w:ascii="宋体" w:hAnsi="宋体" w:cs="宋体"/>
                      <w:bCs/>
                      <w:color w:val="auto"/>
                      <w:szCs w:val="21"/>
                      <w:highlight w:val="none"/>
                      <w:lang w:val="en-US" w:eastAsia="zh-CN"/>
                    </w:rPr>
                    <w:t>含</w:t>
                  </w:r>
                  <w:r>
                    <w:rPr>
                      <w:rFonts w:hint="eastAsia" w:ascii="宋体" w:hAnsi="宋体" w:cs="宋体"/>
                      <w:bCs/>
                      <w:color w:val="auto"/>
                      <w:szCs w:val="21"/>
                      <w:highlight w:val="none"/>
                      <w:lang w:eastAsia="zh-CN"/>
                    </w:rPr>
                    <w:t>）</w:t>
                  </w:r>
                  <w:r>
                    <w:rPr>
                      <w:rFonts w:hint="eastAsia" w:ascii="宋体" w:hAnsi="宋体" w:cs="宋体"/>
                      <w:bCs/>
                      <w:color w:val="auto"/>
                      <w:szCs w:val="21"/>
                      <w:highlight w:val="none"/>
                    </w:rPr>
                    <w:t>以上, 若不能达到此开机率，将作以下处理：</w:t>
                  </w:r>
                </w:p>
                <w:p w14:paraId="6415C335">
                  <w:pPr>
                    <w:spacing w:line="360" w:lineRule="auto"/>
                    <w:ind w:left="420" w:leftChars="200"/>
                    <w:rPr>
                      <w:rFonts w:ascii="宋体" w:hAnsi="宋体" w:cs="宋体"/>
                      <w:bCs/>
                      <w:color w:val="auto"/>
                      <w:szCs w:val="21"/>
                      <w:highlight w:val="none"/>
                    </w:rPr>
                  </w:pPr>
                  <w:r>
                    <w:rPr>
                      <w:rFonts w:hint="eastAsia" w:ascii="宋体" w:hAnsi="宋体" w:cs="宋体"/>
                      <w:bCs/>
                      <w:color w:val="auto"/>
                      <w:szCs w:val="21"/>
                      <w:highlight w:val="none"/>
                    </w:rPr>
                    <w:t>A</w:t>
                  </w:r>
                  <w:r>
                    <w:rPr>
                      <w:rFonts w:hint="eastAsia" w:ascii="宋体" w:hAnsi="宋体" w:cs="宋体"/>
                      <w:bCs/>
                      <w:color w:val="auto"/>
                      <w:szCs w:val="21"/>
                      <w:highlight w:val="none"/>
                      <w:lang w:val="en-US" w:eastAsia="zh-CN"/>
                    </w:rPr>
                    <w:t>.</w:t>
                  </w:r>
                  <w:r>
                    <w:rPr>
                      <w:rFonts w:hint="eastAsia" w:ascii="宋体" w:hAnsi="宋体" w:cs="宋体"/>
                      <w:bCs/>
                      <w:color w:val="auto"/>
                      <w:szCs w:val="21"/>
                      <w:highlight w:val="none"/>
                    </w:rPr>
                    <w:t>年开机率在90（含）-95%（不含）之间按一赔</w:t>
                  </w:r>
                  <w:r>
                    <w:rPr>
                      <w:rFonts w:hint="eastAsia" w:ascii="宋体" w:hAnsi="宋体" w:cs="宋体"/>
                      <w:bCs/>
                      <w:color w:val="auto"/>
                      <w:szCs w:val="21"/>
                      <w:highlight w:val="none"/>
                      <w:u w:val="single"/>
                    </w:rPr>
                    <w:t xml:space="preserve"> 二 </w:t>
                  </w:r>
                  <w:r>
                    <w:rPr>
                      <w:rFonts w:hint="eastAsia" w:ascii="宋体" w:hAnsi="宋体" w:cs="宋体"/>
                      <w:bCs/>
                      <w:color w:val="auto"/>
                      <w:szCs w:val="21"/>
                      <w:highlight w:val="none"/>
                    </w:rPr>
                    <w:t>延长保修期.</w:t>
                  </w:r>
                </w:p>
                <w:p w14:paraId="46AF7AC8">
                  <w:pPr>
                    <w:spacing w:line="360" w:lineRule="auto"/>
                    <w:ind w:left="420" w:leftChars="200"/>
                    <w:rPr>
                      <w:rFonts w:ascii="宋体" w:hAnsi="宋体" w:cs="宋体"/>
                      <w:bCs/>
                      <w:color w:val="auto"/>
                      <w:szCs w:val="21"/>
                      <w:highlight w:val="none"/>
                    </w:rPr>
                  </w:pPr>
                  <w:r>
                    <w:rPr>
                      <w:rFonts w:hint="eastAsia" w:ascii="宋体" w:hAnsi="宋体" w:cs="宋体"/>
                      <w:bCs/>
                      <w:color w:val="auto"/>
                      <w:szCs w:val="21"/>
                      <w:highlight w:val="none"/>
                    </w:rPr>
                    <w:t>B</w:t>
                  </w:r>
                  <w:r>
                    <w:rPr>
                      <w:rFonts w:hint="eastAsia" w:ascii="宋体" w:hAnsi="宋体" w:cs="宋体"/>
                      <w:bCs/>
                      <w:color w:val="auto"/>
                      <w:szCs w:val="21"/>
                      <w:highlight w:val="none"/>
                      <w:lang w:val="en-US" w:eastAsia="zh-CN"/>
                    </w:rPr>
                    <w:t>.</w:t>
                  </w:r>
                  <w:r>
                    <w:rPr>
                      <w:rFonts w:hint="eastAsia" w:ascii="宋体" w:hAnsi="宋体" w:cs="宋体"/>
                      <w:bCs/>
                      <w:color w:val="auto"/>
                      <w:szCs w:val="21"/>
                      <w:highlight w:val="none"/>
                    </w:rPr>
                    <w:t>年开机率在85（含）-90%（不含）之间按一赔</w:t>
                  </w:r>
                  <w:r>
                    <w:rPr>
                      <w:rFonts w:hint="eastAsia" w:ascii="宋体" w:hAnsi="宋体" w:cs="宋体"/>
                      <w:bCs/>
                      <w:color w:val="auto"/>
                      <w:szCs w:val="21"/>
                      <w:highlight w:val="none"/>
                      <w:u w:val="single"/>
                    </w:rPr>
                    <w:t xml:space="preserve"> 五 </w:t>
                  </w:r>
                  <w:r>
                    <w:rPr>
                      <w:rFonts w:hint="eastAsia" w:ascii="宋体" w:hAnsi="宋体" w:cs="宋体"/>
                      <w:bCs/>
                      <w:color w:val="auto"/>
                      <w:szCs w:val="21"/>
                      <w:highlight w:val="none"/>
                    </w:rPr>
                    <w:t>延长保修期</w:t>
                  </w:r>
                </w:p>
                <w:p w14:paraId="02A8FC56">
                  <w:pPr>
                    <w:spacing w:line="360" w:lineRule="auto"/>
                    <w:ind w:left="735" w:leftChars="200" w:hanging="315" w:hangingChars="150"/>
                    <w:rPr>
                      <w:rFonts w:ascii="宋体" w:hAnsi="宋体" w:cs="宋体"/>
                      <w:bCs/>
                      <w:color w:val="auto"/>
                      <w:szCs w:val="21"/>
                      <w:highlight w:val="none"/>
                    </w:rPr>
                  </w:pPr>
                  <w:r>
                    <w:rPr>
                      <w:rFonts w:hint="eastAsia" w:ascii="宋体" w:hAnsi="宋体" w:cs="宋体"/>
                      <w:bCs/>
                      <w:color w:val="auto"/>
                      <w:szCs w:val="21"/>
                      <w:highlight w:val="none"/>
                    </w:rPr>
                    <w:t>C</w:t>
                  </w:r>
                  <w:r>
                    <w:rPr>
                      <w:rFonts w:hint="eastAsia" w:ascii="宋体" w:hAnsi="宋体" w:cs="宋体"/>
                      <w:bCs/>
                      <w:color w:val="auto"/>
                      <w:szCs w:val="21"/>
                      <w:highlight w:val="none"/>
                      <w:lang w:val="en-US" w:eastAsia="zh-CN"/>
                    </w:rPr>
                    <w:t>.</w:t>
                  </w:r>
                  <w:r>
                    <w:rPr>
                      <w:rFonts w:hint="eastAsia" w:ascii="宋体" w:hAnsi="宋体" w:cs="宋体"/>
                      <w:bCs/>
                      <w:color w:val="auto"/>
                      <w:szCs w:val="21"/>
                      <w:highlight w:val="none"/>
                    </w:rPr>
                    <w:t>年开机率低于85%（</w:t>
                  </w:r>
                  <w:r>
                    <w:rPr>
                      <w:rFonts w:hint="eastAsia" w:ascii="宋体" w:hAnsi="宋体" w:cs="宋体"/>
                      <w:bCs/>
                      <w:color w:val="auto"/>
                      <w:szCs w:val="21"/>
                      <w:highlight w:val="none"/>
                      <w:lang w:val="en-US" w:eastAsia="zh-CN"/>
                    </w:rPr>
                    <w:t>不</w:t>
                  </w:r>
                  <w:r>
                    <w:rPr>
                      <w:rFonts w:hint="eastAsia" w:ascii="宋体" w:hAnsi="宋体" w:cs="宋体"/>
                      <w:bCs/>
                      <w:color w:val="auto"/>
                      <w:szCs w:val="21"/>
                      <w:highlight w:val="none"/>
                    </w:rPr>
                    <w:t>含），投标人须无条件更换新机，并重新计算保修期，以及赔偿用户的直接经济损失和间接经济损失。</w:t>
                  </w:r>
                </w:p>
                <w:p w14:paraId="40637348">
                  <w:pPr>
                    <w:rPr>
                      <w:rFonts w:hint="eastAsia" w:ascii="宋体" w:hAnsi="宋体" w:cs="宋体"/>
                      <w:color w:val="auto"/>
                      <w:szCs w:val="21"/>
                      <w:highlight w:val="none"/>
                    </w:rPr>
                  </w:pPr>
                  <w:r>
                    <w:rPr>
                      <w:rFonts w:hint="eastAsia" w:ascii="宋体" w:hAnsi="宋体" w:cs="宋体"/>
                      <w:b/>
                      <w:bCs/>
                      <w:color w:val="auto"/>
                      <w:sz w:val="21"/>
                      <w:szCs w:val="21"/>
                      <w:highlight w:val="none"/>
                    </w:rPr>
                    <w:t>注：</w:t>
                  </w:r>
                  <w:r>
                    <w:rPr>
                      <w:rFonts w:hint="eastAsia" w:ascii="宋体" w:hAnsi="宋体" w:cs="宋体"/>
                      <w:bCs/>
                      <w:color w:val="auto"/>
                      <w:sz w:val="21"/>
                      <w:szCs w:val="21"/>
                      <w:highlight w:val="none"/>
                    </w:rPr>
                    <w:t>年开机率</w:t>
                  </w:r>
                  <w:r>
                    <w:rPr>
                      <w:rFonts w:hint="eastAsia" w:ascii="宋体" w:hAnsi="宋体" w:cs="宋体"/>
                      <w:bCs/>
                      <w:color w:val="auto"/>
                      <w:sz w:val="21"/>
                      <w:szCs w:val="21"/>
                      <w:highlight w:val="none"/>
                      <w:lang w:val="en-US" w:eastAsia="zh-CN"/>
                    </w:rPr>
                    <w:t>=</w:t>
                  </w:r>
                  <w:r>
                    <w:rPr>
                      <w:rFonts w:hint="eastAsia" w:ascii="宋体" w:hAnsi="宋体" w:cs="宋体"/>
                      <w:bCs/>
                      <w:color w:val="auto"/>
                      <w:sz w:val="21"/>
                      <w:szCs w:val="21"/>
                      <w:highlight w:val="none"/>
                    </w:rPr>
                    <w:t>（实际开机天数/</w:t>
                  </w:r>
                  <w:r>
                    <w:rPr>
                      <w:rFonts w:hint="eastAsia"/>
                      <w:color w:val="auto"/>
                      <w:highlight w:val="none"/>
                      <w:lang w:val="en-US" w:eastAsia="zh-CN"/>
                    </w:rPr>
                    <w:t>365天</w:t>
                  </w:r>
                  <w:r>
                    <w:rPr>
                      <w:rFonts w:hint="eastAsia" w:ascii="宋体" w:hAnsi="宋体" w:cs="宋体"/>
                      <w:bCs/>
                      <w:color w:val="auto"/>
                      <w:sz w:val="21"/>
                      <w:szCs w:val="21"/>
                      <w:highlight w:val="none"/>
                    </w:rPr>
                    <w:t>*100%）</w:t>
                  </w:r>
                </w:p>
              </w:tc>
            </w:tr>
            <w:tr w14:paraId="2CB6FC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3" w:hRule="atLeast"/>
              </w:trPr>
              <w:tc>
                <w:tcPr>
                  <w:tcW w:w="705" w:type="pct"/>
                  <w:vAlign w:val="center"/>
                </w:tcPr>
                <w:p w14:paraId="79F29DAE">
                  <w:pPr>
                    <w:jc w:val="center"/>
                    <w:rPr>
                      <w:rFonts w:hint="default" w:asciiTheme="minorEastAsia" w:hAnsiTheme="minorEastAsia" w:eastAsiaTheme="minorEastAsia"/>
                      <w:b/>
                      <w:color w:val="auto"/>
                      <w:szCs w:val="21"/>
                      <w:highlight w:val="none"/>
                      <w:lang w:val="en-US" w:eastAsia="zh-CN"/>
                    </w:rPr>
                  </w:pPr>
                  <w:r>
                    <w:rPr>
                      <w:rFonts w:hint="eastAsia" w:asciiTheme="minorEastAsia" w:hAnsiTheme="minorEastAsia" w:eastAsiaTheme="minorEastAsia"/>
                      <w:b/>
                      <w:color w:val="auto"/>
                      <w:szCs w:val="21"/>
                      <w:highlight w:val="none"/>
                      <w:lang w:val="en-US" w:eastAsia="zh-CN"/>
                    </w:rPr>
                    <w:t>10</w:t>
                  </w:r>
                </w:p>
              </w:tc>
              <w:tc>
                <w:tcPr>
                  <w:tcW w:w="917" w:type="pct"/>
                  <w:vAlign w:val="center"/>
                </w:tcPr>
                <w:p w14:paraId="42A57074">
                  <w:pPr>
                    <w:rPr>
                      <w:rFonts w:asciiTheme="minorEastAsia" w:hAnsiTheme="minorEastAsia" w:eastAsiaTheme="minorEastAsia"/>
                      <w:b/>
                      <w:color w:val="auto"/>
                      <w:szCs w:val="21"/>
                      <w:highlight w:val="none"/>
                    </w:rPr>
                  </w:pPr>
                  <w:r>
                    <w:rPr>
                      <w:rFonts w:hint="eastAsia" w:asciiTheme="minorEastAsia" w:hAnsiTheme="minorEastAsia" w:eastAsiaTheme="minorEastAsia"/>
                      <w:color w:val="auto"/>
                      <w:szCs w:val="21"/>
                      <w:highlight w:val="none"/>
                    </w:rPr>
                    <w:t>其他</w:t>
                  </w:r>
                </w:p>
              </w:tc>
              <w:tc>
                <w:tcPr>
                  <w:tcW w:w="3377" w:type="pct"/>
                  <w:vAlign w:val="center"/>
                </w:tcPr>
                <w:p w14:paraId="3030F9F4">
                  <w:pPr>
                    <w:rPr>
                      <w:rFonts w:asciiTheme="minorEastAsia" w:hAnsiTheme="minorEastAsia" w:eastAsiaTheme="minorEastAsia"/>
                      <w:b/>
                      <w:color w:val="auto"/>
                      <w:szCs w:val="21"/>
                      <w:highlight w:val="none"/>
                    </w:rPr>
                  </w:pPr>
                  <w:r>
                    <w:rPr>
                      <w:rFonts w:hint="eastAsia" w:asciiTheme="minorEastAsia" w:hAnsiTheme="minorEastAsia" w:eastAsiaTheme="minorEastAsia"/>
                      <w:bCs/>
                      <w:color w:val="auto"/>
                      <w:szCs w:val="21"/>
                      <w:highlight w:val="none"/>
                    </w:rPr>
                    <w:t>投标人应按其投标文件中的承诺，进行其他售后服务工作。</w:t>
                  </w:r>
                </w:p>
              </w:tc>
            </w:tr>
            <w:tr w14:paraId="08663D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5000" w:type="pct"/>
                  <w:gridSpan w:val="3"/>
                </w:tcPr>
                <w:p w14:paraId="5BFA3D31">
                  <w:pPr>
                    <w:rPr>
                      <w:rFonts w:asciiTheme="minorEastAsia" w:hAnsiTheme="minorEastAsia" w:eastAsiaTheme="minorEastAsia"/>
                      <w:b/>
                      <w:color w:val="auto"/>
                      <w:szCs w:val="21"/>
                      <w:highlight w:val="none"/>
                    </w:rPr>
                  </w:pPr>
                  <w:r>
                    <w:rPr>
                      <w:rFonts w:hint="eastAsia" w:asciiTheme="minorEastAsia" w:hAnsiTheme="minorEastAsia" w:eastAsiaTheme="minorEastAsia"/>
                      <w:b/>
                      <w:color w:val="auto"/>
                      <w:szCs w:val="21"/>
                      <w:highlight w:val="none"/>
                    </w:rPr>
                    <w:t>（二）免费保修期外售后服务要求</w:t>
                  </w:r>
                </w:p>
              </w:tc>
            </w:tr>
            <w:tr w14:paraId="52F944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trPr>
              <w:tc>
                <w:tcPr>
                  <w:tcW w:w="705" w:type="pct"/>
                  <w:vAlign w:val="center"/>
                </w:tcPr>
                <w:p w14:paraId="5973DA26">
                  <w:pPr>
                    <w:jc w:val="center"/>
                    <w:rPr>
                      <w:rFonts w:asciiTheme="minorEastAsia" w:hAnsiTheme="minorEastAsia" w:eastAsiaTheme="minorEastAsia"/>
                      <w:b/>
                      <w:color w:val="auto"/>
                      <w:szCs w:val="21"/>
                      <w:highlight w:val="none"/>
                    </w:rPr>
                  </w:pPr>
                  <w:r>
                    <w:rPr>
                      <w:rFonts w:hint="eastAsia" w:asciiTheme="minorEastAsia" w:hAnsiTheme="minorEastAsia" w:eastAsiaTheme="minorEastAsia"/>
                      <w:b/>
                      <w:color w:val="auto"/>
                      <w:szCs w:val="21"/>
                      <w:highlight w:val="none"/>
                    </w:rPr>
                    <w:t>1</w:t>
                  </w:r>
                </w:p>
              </w:tc>
              <w:tc>
                <w:tcPr>
                  <w:tcW w:w="917" w:type="pct"/>
                </w:tcPr>
                <w:p w14:paraId="3CB98376">
                  <w:pPr>
                    <w:rPr>
                      <w:rFonts w:asciiTheme="minorEastAsia" w:hAnsiTheme="minorEastAsia" w:eastAsiaTheme="minorEastAsia"/>
                      <w:b/>
                      <w:color w:val="auto"/>
                      <w:szCs w:val="21"/>
                      <w:highlight w:val="none"/>
                    </w:rPr>
                  </w:pPr>
                </w:p>
              </w:tc>
              <w:tc>
                <w:tcPr>
                  <w:tcW w:w="3377" w:type="pct"/>
                </w:tcPr>
                <w:p w14:paraId="3AB7C24F">
                  <w:pPr>
                    <w:rPr>
                      <w:rFonts w:hint="eastAsia" w:eastAsia="宋体" w:asciiTheme="minorEastAsia" w:hAnsiTheme="minorEastAsia"/>
                      <w:b/>
                      <w:color w:val="auto"/>
                      <w:szCs w:val="21"/>
                      <w:highlight w:val="none"/>
                      <w:lang w:eastAsia="zh-CN"/>
                    </w:rPr>
                  </w:pPr>
                  <w:r>
                    <w:rPr>
                      <w:rFonts w:hint="eastAsia" w:ascii="宋体" w:hAnsi="宋体" w:cs="宋体"/>
                      <w:color w:val="auto"/>
                      <w:szCs w:val="21"/>
                      <w:highlight w:val="none"/>
                    </w:rPr>
                    <w:t>由设备制造商</w:t>
                  </w:r>
                  <w:r>
                    <w:rPr>
                      <w:rFonts w:hint="eastAsia" w:ascii="宋体" w:hAnsi="宋体" w:cs="宋体"/>
                      <w:color w:val="auto"/>
                      <w:szCs w:val="21"/>
                      <w:highlight w:val="none"/>
                      <w:lang w:eastAsia="zh-CN"/>
                    </w:rPr>
                    <w:t>或制造商授权认可的代理商</w:t>
                  </w:r>
                  <w:r>
                    <w:rPr>
                      <w:rFonts w:hint="eastAsia" w:ascii="宋体" w:hAnsi="宋体" w:cs="宋体"/>
                      <w:color w:val="auto"/>
                      <w:szCs w:val="21"/>
                      <w:highlight w:val="none"/>
                    </w:rPr>
                    <w:t>提供售后服务</w:t>
                  </w:r>
                  <w:r>
                    <w:rPr>
                      <w:rFonts w:hint="eastAsia" w:ascii="宋体" w:hAnsi="宋体" w:cs="宋体"/>
                      <w:color w:val="auto"/>
                      <w:szCs w:val="21"/>
                      <w:highlight w:val="none"/>
                      <w:lang w:eastAsia="zh-CN"/>
                    </w:rPr>
                    <w:t>。</w:t>
                  </w:r>
                </w:p>
              </w:tc>
            </w:tr>
            <w:tr w14:paraId="7CEAC3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trPr>
              <w:tc>
                <w:tcPr>
                  <w:tcW w:w="5000" w:type="pct"/>
                  <w:gridSpan w:val="3"/>
                </w:tcPr>
                <w:p w14:paraId="03562B0A">
                  <w:pPr>
                    <w:rPr>
                      <w:rFonts w:asciiTheme="minorEastAsia" w:hAnsiTheme="minorEastAsia" w:eastAsiaTheme="minorEastAsia"/>
                      <w:b/>
                      <w:color w:val="auto"/>
                      <w:szCs w:val="21"/>
                      <w:highlight w:val="none"/>
                    </w:rPr>
                  </w:pPr>
                  <w:r>
                    <w:rPr>
                      <w:rFonts w:hint="eastAsia" w:asciiTheme="minorEastAsia" w:hAnsiTheme="minorEastAsia" w:eastAsiaTheme="minorEastAsia"/>
                      <w:b/>
                      <w:color w:val="auto"/>
                      <w:szCs w:val="21"/>
                      <w:highlight w:val="none"/>
                    </w:rPr>
                    <w:t>（三）其他商务要求</w:t>
                  </w:r>
                </w:p>
              </w:tc>
            </w:tr>
            <w:tr w14:paraId="0DED1D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trPr>
              <w:tc>
                <w:tcPr>
                  <w:tcW w:w="705" w:type="pct"/>
                  <w:vMerge w:val="restart"/>
                  <w:vAlign w:val="center"/>
                </w:tcPr>
                <w:p w14:paraId="7D411220">
                  <w:pPr>
                    <w:jc w:val="center"/>
                    <w:rPr>
                      <w:rFonts w:asciiTheme="minorEastAsia" w:hAnsiTheme="minorEastAsia" w:eastAsiaTheme="minorEastAsia"/>
                      <w:b/>
                      <w:color w:val="auto"/>
                      <w:szCs w:val="21"/>
                      <w:highlight w:val="none"/>
                    </w:rPr>
                  </w:pPr>
                  <w:r>
                    <w:rPr>
                      <w:rFonts w:hint="eastAsia" w:asciiTheme="minorEastAsia" w:hAnsiTheme="minorEastAsia" w:eastAsiaTheme="minorEastAsia"/>
                      <w:b/>
                      <w:color w:val="auto"/>
                      <w:szCs w:val="21"/>
                      <w:highlight w:val="none"/>
                    </w:rPr>
                    <w:t>1</w:t>
                  </w:r>
                </w:p>
              </w:tc>
              <w:tc>
                <w:tcPr>
                  <w:tcW w:w="917" w:type="pct"/>
                  <w:vMerge w:val="restart"/>
                  <w:vAlign w:val="center"/>
                </w:tcPr>
                <w:p w14:paraId="37A2A121">
                  <w:pPr>
                    <w:jc w:val="center"/>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关于交货</w:t>
                  </w:r>
                </w:p>
              </w:tc>
              <w:tc>
                <w:tcPr>
                  <w:tcW w:w="3377" w:type="pct"/>
                </w:tcPr>
                <w:p w14:paraId="5F90E40F">
                  <w:pPr>
                    <w:rPr>
                      <w:rFonts w:asciiTheme="minorEastAsia" w:hAnsiTheme="minorEastAsia" w:eastAsiaTheme="minorEastAsia"/>
                      <w:bCs/>
                      <w:color w:val="auto"/>
                      <w:szCs w:val="21"/>
                      <w:highlight w:val="none"/>
                    </w:rPr>
                  </w:pPr>
                  <w:r>
                    <w:rPr>
                      <w:rFonts w:hint="eastAsia" w:cs="宋体" w:asciiTheme="minorEastAsia" w:hAnsiTheme="minorEastAsia" w:eastAsiaTheme="minorEastAsia"/>
                      <w:b/>
                      <w:color w:val="auto"/>
                      <w:szCs w:val="21"/>
                      <w:highlight w:val="none"/>
                    </w:rPr>
                    <w:t>★</w:t>
                  </w:r>
                  <w:r>
                    <w:rPr>
                      <w:rFonts w:hint="eastAsia" w:asciiTheme="minorEastAsia" w:hAnsiTheme="minorEastAsia" w:eastAsiaTheme="minorEastAsia"/>
                      <w:bCs/>
                      <w:color w:val="auto"/>
                      <w:szCs w:val="21"/>
                      <w:highlight w:val="none"/>
                    </w:rPr>
                    <w:t>1.1</w:t>
                  </w:r>
                  <w:r>
                    <w:rPr>
                      <w:rFonts w:hint="eastAsia"/>
                      <w:color w:val="auto"/>
                      <w:highlight w:val="none"/>
                    </w:rPr>
                    <w:t xml:space="preserve">签订合同后  </w:t>
                  </w:r>
                  <w:r>
                    <w:rPr>
                      <w:rFonts w:hint="eastAsia"/>
                      <w:color w:val="auto"/>
                      <w:highlight w:val="none"/>
                      <w:u w:val="single"/>
                    </w:rPr>
                    <w:t xml:space="preserve"> </w:t>
                  </w:r>
                  <w:r>
                    <w:rPr>
                      <w:rFonts w:hint="eastAsia"/>
                      <w:color w:val="auto"/>
                      <w:highlight w:val="none"/>
                      <w:u w:val="single"/>
                      <w:lang w:val="en-US" w:eastAsia="zh-CN"/>
                    </w:rPr>
                    <w:t>30</w:t>
                  </w:r>
                  <w:r>
                    <w:rPr>
                      <w:rFonts w:hint="eastAsia"/>
                      <w:color w:val="auto"/>
                      <w:highlight w:val="none"/>
                      <w:u w:val="single"/>
                    </w:rPr>
                    <w:t xml:space="preserve"> </w:t>
                  </w:r>
                  <w:r>
                    <w:rPr>
                      <w:rFonts w:hint="eastAsia"/>
                      <w:color w:val="auto"/>
                      <w:highlight w:val="none"/>
                    </w:rPr>
                    <w:t xml:space="preserve"> 天（日历日）内交货。</w:t>
                  </w:r>
                </w:p>
              </w:tc>
            </w:tr>
            <w:tr w14:paraId="167B4E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trPr>
              <w:tc>
                <w:tcPr>
                  <w:tcW w:w="705" w:type="pct"/>
                  <w:vMerge w:val="continue"/>
                  <w:vAlign w:val="center"/>
                </w:tcPr>
                <w:p w14:paraId="1E4C97A5">
                  <w:pPr>
                    <w:jc w:val="center"/>
                    <w:rPr>
                      <w:rFonts w:hint="eastAsia" w:asciiTheme="minorEastAsia" w:hAnsiTheme="minorEastAsia" w:eastAsiaTheme="minorEastAsia"/>
                      <w:b/>
                      <w:color w:val="auto"/>
                      <w:szCs w:val="21"/>
                      <w:highlight w:val="none"/>
                    </w:rPr>
                  </w:pPr>
                </w:p>
              </w:tc>
              <w:tc>
                <w:tcPr>
                  <w:tcW w:w="917" w:type="pct"/>
                  <w:vMerge w:val="continue"/>
                  <w:vAlign w:val="center"/>
                </w:tcPr>
                <w:p w14:paraId="4BEB9805">
                  <w:pPr>
                    <w:jc w:val="center"/>
                    <w:rPr>
                      <w:rFonts w:hint="eastAsia" w:asciiTheme="minorEastAsia" w:hAnsiTheme="minorEastAsia" w:eastAsiaTheme="minorEastAsia"/>
                      <w:color w:val="auto"/>
                      <w:szCs w:val="21"/>
                      <w:highlight w:val="none"/>
                    </w:rPr>
                  </w:pPr>
                </w:p>
              </w:tc>
              <w:tc>
                <w:tcPr>
                  <w:tcW w:w="3377" w:type="pct"/>
                </w:tcPr>
                <w:p w14:paraId="71B43AD3">
                  <w:pPr>
                    <w:rPr>
                      <w:rFonts w:hint="eastAsia" w:asciiTheme="minorEastAsia" w:hAnsiTheme="minorEastAsia" w:eastAsiaTheme="minorEastAsia"/>
                      <w:bCs/>
                      <w:color w:val="auto"/>
                      <w:szCs w:val="21"/>
                      <w:highlight w:val="none"/>
                    </w:rPr>
                  </w:pPr>
                  <w:r>
                    <w:rPr>
                      <w:rFonts w:hint="eastAsia" w:asciiTheme="minorEastAsia" w:hAnsiTheme="minorEastAsia" w:eastAsiaTheme="minorEastAsia"/>
                      <w:bCs/>
                      <w:color w:val="auto"/>
                      <w:szCs w:val="21"/>
                      <w:highlight w:val="none"/>
                      <w:lang w:val="en-US" w:eastAsia="zh-CN"/>
                    </w:rPr>
                    <w:t>1.2</w:t>
                  </w:r>
                  <w:r>
                    <w:rPr>
                      <w:rFonts w:hint="eastAsia" w:asciiTheme="minorEastAsia" w:hAnsiTheme="minorEastAsia" w:eastAsiaTheme="minorEastAsia"/>
                      <w:bCs/>
                      <w:color w:val="auto"/>
                      <w:szCs w:val="21"/>
                      <w:highlight w:val="none"/>
                    </w:rPr>
                    <w:t>交货地点：</w:t>
                  </w:r>
                  <w:r>
                    <w:rPr>
                      <w:rFonts w:hint="eastAsia" w:ascii="宋体" w:hAnsi="宋体"/>
                      <w:color w:val="auto"/>
                      <w:szCs w:val="21"/>
                      <w:highlight w:val="none"/>
                    </w:rPr>
                    <w:t>中标人</w:t>
                  </w:r>
                  <w:r>
                    <w:rPr>
                      <w:rFonts w:hint="eastAsia" w:ascii="宋体" w:hAnsi="宋体" w:cs="宋体"/>
                      <w:bCs/>
                      <w:color w:val="auto"/>
                      <w:szCs w:val="21"/>
                      <w:highlight w:val="none"/>
                    </w:rPr>
                    <w:t>负责将</w:t>
                  </w:r>
                  <w:r>
                    <w:rPr>
                      <w:rFonts w:hint="eastAsia" w:ascii="宋体" w:hAnsi="宋体" w:cs="宋体"/>
                      <w:color w:val="auto"/>
                      <w:szCs w:val="21"/>
                      <w:highlight w:val="none"/>
                    </w:rPr>
                    <w:t>货物</w:t>
                  </w:r>
                  <w:r>
                    <w:rPr>
                      <w:rFonts w:hint="eastAsia" w:ascii="宋体" w:hAnsi="宋体" w:cs="宋体"/>
                      <w:bCs/>
                      <w:color w:val="auto"/>
                      <w:szCs w:val="21"/>
                      <w:highlight w:val="none"/>
                    </w:rPr>
                    <w:t>安全无损运抵采购人指定地点,并承担设备的包装、运输、保险、装卸、安装调试、培训、商检及计量检测、关税、增值税和进口代理等费用</w:t>
                  </w:r>
                  <w:r>
                    <w:rPr>
                      <w:rFonts w:hint="eastAsia" w:ascii="宋体" w:hAnsi="宋体" w:cs="宋体"/>
                      <w:color w:val="auto"/>
                      <w:szCs w:val="21"/>
                      <w:highlight w:val="none"/>
                    </w:rPr>
                    <w:t>。</w:t>
                  </w:r>
                </w:p>
              </w:tc>
            </w:tr>
            <w:tr w14:paraId="342E45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6" w:hRule="atLeast"/>
              </w:trPr>
              <w:tc>
                <w:tcPr>
                  <w:tcW w:w="705" w:type="pct"/>
                  <w:vMerge w:val="continue"/>
                  <w:vAlign w:val="center"/>
                </w:tcPr>
                <w:p w14:paraId="362F3797">
                  <w:pPr>
                    <w:jc w:val="center"/>
                    <w:rPr>
                      <w:rFonts w:asciiTheme="minorEastAsia" w:hAnsiTheme="minorEastAsia" w:eastAsiaTheme="minorEastAsia"/>
                      <w:b/>
                      <w:color w:val="auto"/>
                      <w:szCs w:val="21"/>
                      <w:highlight w:val="none"/>
                    </w:rPr>
                  </w:pPr>
                </w:p>
              </w:tc>
              <w:tc>
                <w:tcPr>
                  <w:tcW w:w="917" w:type="pct"/>
                  <w:vMerge w:val="continue"/>
                  <w:vAlign w:val="center"/>
                </w:tcPr>
                <w:p w14:paraId="7641A433">
                  <w:pPr>
                    <w:jc w:val="center"/>
                    <w:rPr>
                      <w:rFonts w:asciiTheme="minorEastAsia" w:hAnsiTheme="minorEastAsia" w:eastAsiaTheme="minorEastAsia"/>
                      <w:color w:val="auto"/>
                      <w:szCs w:val="21"/>
                      <w:highlight w:val="none"/>
                    </w:rPr>
                  </w:pPr>
                </w:p>
              </w:tc>
              <w:tc>
                <w:tcPr>
                  <w:tcW w:w="3377" w:type="pct"/>
                </w:tcPr>
                <w:p w14:paraId="6BEBDDE6">
                  <w:pPr>
                    <w:rPr>
                      <w:rFonts w:asciiTheme="minorEastAsia" w:hAnsiTheme="minorEastAsia" w:eastAsiaTheme="minorEastAsia"/>
                      <w:bCs/>
                      <w:color w:val="auto"/>
                      <w:szCs w:val="21"/>
                      <w:highlight w:val="none"/>
                    </w:rPr>
                  </w:pPr>
                  <w:r>
                    <w:rPr>
                      <w:rFonts w:hint="eastAsia" w:asciiTheme="minorEastAsia" w:hAnsiTheme="minorEastAsia" w:eastAsiaTheme="minorEastAsia"/>
                      <w:bCs/>
                      <w:color w:val="auto"/>
                      <w:szCs w:val="21"/>
                      <w:highlight w:val="none"/>
                    </w:rPr>
                    <w:t>1.</w:t>
                  </w:r>
                  <w:r>
                    <w:rPr>
                      <w:rFonts w:hint="eastAsia" w:asciiTheme="minorEastAsia" w:hAnsiTheme="minorEastAsia" w:eastAsiaTheme="minorEastAsia"/>
                      <w:bCs/>
                      <w:color w:val="auto"/>
                      <w:szCs w:val="21"/>
                      <w:highlight w:val="none"/>
                      <w:lang w:val="en-US" w:eastAsia="zh-CN"/>
                    </w:rPr>
                    <w:t>3</w:t>
                  </w:r>
                  <w:r>
                    <w:rPr>
                      <w:rFonts w:hint="eastAsia" w:ascii="宋体" w:hAnsi="宋体"/>
                      <w:color w:val="auto"/>
                      <w:szCs w:val="21"/>
                      <w:highlight w:val="none"/>
                    </w:rPr>
                    <w:t>中标人</w:t>
                  </w:r>
                  <w:r>
                    <w:rPr>
                      <w:rFonts w:hint="eastAsia" w:ascii="宋体" w:hAnsi="宋体" w:cs="宋体"/>
                      <w:bCs/>
                      <w:color w:val="auto"/>
                      <w:szCs w:val="21"/>
                      <w:highlight w:val="none"/>
                    </w:rPr>
                    <w:t>应提供货物的技术文件，包括但不限于设备配置清单、产品说明书、图纸、操作手册等，所有外文资料须提供中文译本。文件应随货物一并交付至采购人指定地点</w:t>
                  </w:r>
                  <w:r>
                    <w:rPr>
                      <w:rFonts w:hint="eastAsia" w:ascii="宋体" w:hAnsi="宋体" w:cs="宋体"/>
                      <w:color w:val="auto"/>
                      <w:szCs w:val="21"/>
                      <w:highlight w:val="none"/>
                    </w:rPr>
                    <w:t>。</w:t>
                  </w:r>
                </w:p>
              </w:tc>
            </w:tr>
            <w:tr w14:paraId="7326F9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6" w:hRule="atLeast"/>
              </w:trPr>
              <w:tc>
                <w:tcPr>
                  <w:tcW w:w="705" w:type="pct"/>
                  <w:vMerge w:val="continue"/>
                  <w:vAlign w:val="center"/>
                </w:tcPr>
                <w:p w14:paraId="47112591">
                  <w:pPr>
                    <w:jc w:val="center"/>
                    <w:rPr>
                      <w:rFonts w:asciiTheme="minorEastAsia" w:hAnsiTheme="minorEastAsia" w:eastAsiaTheme="minorEastAsia"/>
                      <w:b/>
                      <w:color w:val="auto"/>
                      <w:szCs w:val="21"/>
                      <w:highlight w:val="none"/>
                    </w:rPr>
                  </w:pPr>
                </w:p>
              </w:tc>
              <w:tc>
                <w:tcPr>
                  <w:tcW w:w="917" w:type="pct"/>
                  <w:vMerge w:val="continue"/>
                  <w:vAlign w:val="center"/>
                </w:tcPr>
                <w:p w14:paraId="10150207">
                  <w:pPr>
                    <w:jc w:val="center"/>
                    <w:rPr>
                      <w:rFonts w:asciiTheme="minorEastAsia" w:hAnsiTheme="minorEastAsia" w:eastAsiaTheme="minorEastAsia"/>
                      <w:color w:val="auto"/>
                      <w:szCs w:val="21"/>
                      <w:highlight w:val="none"/>
                    </w:rPr>
                  </w:pPr>
                </w:p>
              </w:tc>
              <w:tc>
                <w:tcPr>
                  <w:tcW w:w="3377" w:type="pct"/>
                </w:tcPr>
                <w:p w14:paraId="76AFC00D">
                  <w:pPr>
                    <w:rPr>
                      <w:rFonts w:hint="eastAsia" w:asciiTheme="minorEastAsia" w:hAnsiTheme="minorEastAsia" w:eastAsiaTheme="minorEastAsia"/>
                      <w:bCs/>
                      <w:color w:val="auto"/>
                      <w:szCs w:val="21"/>
                      <w:highlight w:val="none"/>
                    </w:rPr>
                  </w:pPr>
                  <w:r>
                    <w:rPr>
                      <w:rFonts w:hint="eastAsia" w:ascii="宋体" w:hAnsi="宋体" w:cs="宋体"/>
                      <w:bCs/>
                      <w:color w:val="auto"/>
                      <w:szCs w:val="21"/>
                      <w:highlight w:val="none"/>
                      <w:lang w:val="en-US" w:eastAsia="zh-CN"/>
                    </w:rPr>
                    <w:t>1.4</w:t>
                  </w:r>
                  <w:r>
                    <w:rPr>
                      <w:rFonts w:hint="eastAsia" w:ascii="宋体" w:hAnsi="宋体"/>
                      <w:color w:val="auto"/>
                      <w:szCs w:val="21"/>
                      <w:highlight w:val="none"/>
                    </w:rPr>
                    <w:t>中标人</w:t>
                  </w:r>
                  <w:r>
                    <w:rPr>
                      <w:rFonts w:hint="eastAsia" w:ascii="宋体" w:hAnsi="宋体" w:cs="宋体"/>
                      <w:bCs/>
                      <w:color w:val="auto"/>
                      <w:szCs w:val="21"/>
                      <w:highlight w:val="none"/>
                    </w:rPr>
                    <w:t>提供的货物必须为全新、经检验合格的产品。产品如需要计量检定的应</w:t>
                  </w:r>
                  <w:r>
                    <w:rPr>
                      <w:rFonts w:hint="eastAsia" w:ascii="宋体" w:hAnsi="宋体" w:cs="宋体"/>
                      <w:color w:val="auto"/>
                      <w:szCs w:val="21"/>
                      <w:highlight w:val="none"/>
                    </w:rPr>
                    <w:t>提供</w:t>
                  </w:r>
                  <w:r>
                    <w:rPr>
                      <w:rFonts w:hint="eastAsia" w:ascii="宋体" w:hAnsi="宋体" w:cs="宋体"/>
                      <w:bCs/>
                      <w:color w:val="auto"/>
                      <w:szCs w:val="21"/>
                      <w:highlight w:val="none"/>
                    </w:rPr>
                    <w:t>相关计量检定部门出具的合法检定报告。其中，进口设备必须具有报关证明文件和商检证明文件（免检设备</w:t>
                  </w:r>
                  <w:r>
                    <w:rPr>
                      <w:rFonts w:hint="eastAsia" w:ascii="宋体" w:hAnsi="宋体" w:cs="宋体"/>
                      <w:bCs/>
                      <w:color w:val="auto"/>
                      <w:szCs w:val="21"/>
                      <w:highlight w:val="none"/>
                      <w:lang w:eastAsia="zh-CN"/>
                    </w:rPr>
                    <w:t>提供免检证明</w:t>
                  </w:r>
                  <w:r>
                    <w:rPr>
                      <w:rFonts w:hint="eastAsia" w:ascii="宋体" w:hAnsi="宋体" w:cs="宋体"/>
                      <w:bCs/>
                      <w:color w:val="auto"/>
                      <w:szCs w:val="21"/>
                      <w:highlight w:val="none"/>
                    </w:rPr>
                    <w:t>）</w:t>
                  </w:r>
                  <w:r>
                    <w:rPr>
                      <w:rFonts w:hint="eastAsia" w:ascii="宋体" w:hAnsi="宋体" w:cs="宋体"/>
                      <w:color w:val="auto"/>
                      <w:szCs w:val="21"/>
                      <w:highlight w:val="none"/>
                    </w:rPr>
                    <w:t>。</w:t>
                  </w:r>
                </w:p>
              </w:tc>
            </w:tr>
            <w:tr w14:paraId="6593F0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6" w:hRule="atLeast"/>
              </w:trPr>
              <w:tc>
                <w:tcPr>
                  <w:tcW w:w="705" w:type="pct"/>
                  <w:vMerge w:val="continue"/>
                  <w:vAlign w:val="center"/>
                </w:tcPr>
                <w:p w14:paraId="73D865A8">
                  <w:pPr>
                    <w:jc w:val="center"/>
                    <w:rPr>
                      <w:rFonts w:asciiTheme="minorEastAsia" w:hAnsiTheme="minorEastAsia" w:eastAsiaTheme="minorEastAsia"/>
                      <w:b/>
                      <w:color w:val="auto"/>
                      <w:szCs w:val="21"/>
                      <w:highlight w:val="none"/>
                    </w:rPr>
                  </w:pPr>
                </w:p>
              </w:tc>
              <w:tc>
                <w:tcPr>
                  <w:tcW w:w="917" w:type="pct"/>
                  <w:vMerge w:val="continue"/>
                  <w:vAlign w:val="center"/>
                </w:tcPr>
                <w:p w14:paraId="6AE88391">
                  <w:pPr>
                    <w:jc w:val="center"/>
                    <w:rPr>
                      <w:rFonts w:asciiTheme="minorEastAsia" w:hAnsiTheme="minorEastAsia" w:eastAsiaTheme="minorEastAsia"/>
                      <w:color w:val="auto"/>
                      <w:szCs w:val="21"/>
                      <w:highlight w:val="none"/>
                    </w:rPr>
                  </w:pPr>
                </w:p>
              </w:tc>
              <w:tc>
                <w:tcPr>
                  <w:tcW w:w="3377" w:type="pct"/>
                </w:tcPr>
                <w:p w14:paraId="3D6AB7EE">
                  <w:pPr>
                    <w:rPr>
                      <w:rFonts w:hint="eastAsia" w:eastAsia="宋体"/>
                      <w:color w:val="auto"/>
                      <w:highlight w:val="none"/>
                      <w:lang w:eastAsia="zh-CN"/>
                    </w:rPr>
                  </w:pPr>
                  <w:r>
                    <w:rPr>
                      <w:rFonts w:hint="eastAsia" w:ascii="宋体" w:hAnsi="宋体" w:cs="宋体"/>
                      <w:bCs/>
                      <w:color w:val="auto"/>
                      <w:szCs w:val="21"/>
                      <w:highlight w:val="none"/>
                      <w:lang w:val="en-US" w:eastAsia="zh-CN"/>
                    </w:rPr>
                    <w:t>1.5</w:t>
                  </w:r>
                  <w:r>
                    <w:rPr>
                      <w:rFonts w:hint="eastAsia" w:ascii="宋体" w:hAnsi="宋体" w:cs="宋体"/>
                      <w:bCs/>
                      <w:color w:val="auto"/>
                      <w:szCs w:val="21"/>
                      <w:highlight w:val="none"/>
                    </w:rPr>
                    <w:t>采购人有权检验或测试货物，以确认货物是否符合合同规格的要求。如果发现所交货物与投标文件中所承诺的不符或存在质量、技术缺陷等,采购人可以拒绝接收该货物</w:t>
                  </w:r>
                  <w:r>
                    <w:rPr>
                      <w:rFonts w:hint="eastAsia" w:ascii="宋体" w:hAnsi="宋体" w:cs="宋体"/>
                      <w:bCs/>
                      <w:color w:val="auto"/>
                      <w:szCs w:val="21"/>
                      <w:highlight w:val="none"/>
                      <w:lang w:eastAsia="zh-CN"/>
                    </w:rPr>
                    <w:t>。</w:t>
                  </w:r>
                </w:p>
              </w:tc>
            </w:tr>
            <w:tr w14:paraId="0A309E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6" w:hRule="atLeast"/>
              </w:trPr>
              <w:tc>
                <w:tcPr>
                  <w:tcW w:w="705" w:type="pct"/>
                  <w:vMerge w:val="continue"/>
                  <w:vAlign w:val="center"/>
                </w:tcPr>
                <w:p w14:paraId="461DAABE">
                  <w:pPr>
                    <w:jc w:val="center"/>
                    <w:rPr>
                      <w:rFonts w:asciiTheme="minorEastAsia" w:hAnsiTheme="minorEastAsia" w:eastAsiaTheme="minorEastAsia"/>
                      <w:b/>
                      <w:color w:val="auto"/>
                      <w:szCs w:val="21"/>
                      <w:highlight w:val="none"/>
                    </w:rPr>
                  </w:pPr>
                </w:p>
              </w:tc>
              <w:tc>
                <w:tcPr>
                  <w:tcW w:w="917" w:type="pct"/>
                  <w:vMerge w:val="continue"/>
                  <w:vAlign w:val="center"/>
                </w:tcPr>
                <w:p w14:paraId="0E589FA5">
                  <w:pPr>
                    <w:jc w:val="center"/>
                    <w:rPr>
                      <w:rFonts w:asciiTheme="minorEastAsia" w:hAnsiTheme="minorEastAsia" w:eastAsiaTheme="minorEastAsia"/>
                      <w:color w:val="auto"/>
                      <w:szCs w:val="21"/>
                      <w:highlight w:val="none"/>
                    </w:rPr>
                  </w:pPr>
                </w:p>
              </w:tc>
              <w:tc>
                <w:tcPr>
                  <w:tcW w:w="3377" w:type="pct"/>
                </w:tcPr>
                <w:p w14:paraId="1513648C">
                  <w:pPr>
                    <w:rPr>
                      <w:rFonts w:hint="eastAsia"/>
                      <w:color w:val="auto"/>
                      <w:highlight w:val="none"/>
                      <w:lang w:val="en-US" w:eastAsia="zh-CN"/>
                    </w:rPr>
                  </w:pPr>
                  <w:r>
                    <w:rPr>
                      <w:rFonts w:hint="eastAsia" w:ascii="宋体" w:hAnsi="宋体" w:cs="宋体"/>
                      <w:color w:val="auto"/>
                      <w:szCs w:val="21"/>
                      <w:highlight w:val="none"/>
                      <w:lang w:val="en-US" w:eastAsia="zh-CN"/>
                    </w:rPr>
                    <w:t>1.6</w:t>
                  </w:r>
                  <w:r>
                    <w:rPr>
                      <w:rFonts w:hint="eastAsia" w:ascii="宋体" w:hAnsi="宋体"/>
                      <w:color w:val="auto"/>
                      <w:szCs w:val="21"/>
                      <w:highlight w:val="none"/>
                    </w:rPr>
                    <w:t>中标人</w:t>
                  </w:r>
                  <w:r>
                    <w:rPr>
                      <w:rFonts w:hint="eastAsia" w:ascii="宋体" w:hAnsi="宋体" w:cs="宋体"/>
                      <w:color w:val="auto"/>
                      <w:szCs w:val="21"/>
                      <w:highlight w:val="none"/>
                    </w:rPr>
                    <w:t>负责货物的现场安装和调试,提供货物安装、调试和维修所需的专用工具和辅助材料。</w:t>
                  </w:r>
                  <w:r>
                    <w:rPr>
                      <w:rFonts w:hint="eastAsia" w:ascii="宋体" w:hAnsi="宋体"/>
                      <w:color w:val="auto"/>
                      <w:szCs w:val="21"/>
                      <w:highlight w:val="none"/>
                    </w:rPr>
                    <w:t>中标人</w:t>
                  </w:r>
                  <w:r>
                    <w:rPr>
                      <w:rFonts w:hint="eastAsia" w:ascii="宋体" w:hAnsi="宋体" w:cs="宋体"/>
                      <w:color w:val="auto"/>
                      <w:szCs w:val="21"/>
                      <w:highlight w:val="none"/>
                    </w:rPr>
                    <w:t>应在货物运至指定地点后</w:t>
                  </w:r>
                  <w:r>
                    <w:rPr>
                      <w:rFonts w:hint="eastAsia" w:ascii="宋体" w:hAnsi="宋体" w:cs="宋体"/>
                      <w:color w:val="auto"/>
                      <w:szCs w:val="21"/>
                      <w:highlight w:val="none"/>
                      <w:u w:val="single"/>
                      <w:lang w:val="en-US" w:eastAsia="zh-CN"/>
                    </w:rPr>
                    <w:t xml:space="preserve"> 5 </w:t>
                  </w:r>
                  <w:r>
                    <w:rPr>
                      <w:rFonts w:hint="eastAsia" w:ascii="宋体" w:hAnsi="宋体" w:cs="宋体"/>
                      <w:color w:val="auto"/>
                      <w:szCs w:val="21"/>
                      <w:highlight w:val="none"/>
                      <w:lang w:val="en-US" w:eastAsia="zh-CN"/>
                    </w:rPr>
                    <w:t>天</w:t>
                  </w:r>
                  <w:r>
                    <w:rPr>
                      <w:rFonts w:hint="eastAsia" w:ascii="宋体" w:hAnsi="宋体" w:cs="宋体"/>
                      <w:color w:val="auto"/>
                      <w:szCs w:val="21"/>
                      <w:highlight w:val="none"/>
                    </w:rPr>
                    <w:t>内开始安装调试,并在</w:t>
                  </w:r>
                  <w:r>
                    <w:rPr>
                      <w:rFonts w:hint="eastAsia" w:ascii="宋体" w:hAnsi="宋体" w:cs="宋体"/>
                      <w:bCs/>
                      <w:color w:val="auto"/>
                      <w:szCs w:val="21"/>
                      <w:highlight w:val="none"/>
                      <w:u w:val="single"/>
                    </w:rPr>
                    <w:t xml:space="preserve"> 5 </w:t>
                  </w:r>
                  <w:r>
                    <w:rPr>
                      <w:rFonts w:hint="eastAsia" w:ascii="宋体" w:hAnsi="宋体" w:cs="宋体"/>
                      <w:color w:val="auto"/>
                      <w:szCs w:val="21"/>
                      <w:highlight w:val="none"/>
                    </w:rPr>
                    <w:t>天内安装调试完毕。</w:t>
                  </w:r>
                </w:p>
              </w:tc>
            </w:tr>
            <w:tr w14:paraId="4DC1AE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trPr>
              <w:tc>
                <w:tcPr>
                  <w:tcW w:w="705" w:type="pct"/>
                  <w:vMerge w:val="restart"/>
                  <w:vAlign w:val="center"/>
                </w:tcPr>
                <w:p w14:paraId="6B96A189">
                  <w:pPr>
                    <w:jc w:val="center"/>
                    <w:rPr>
                      <w:rFonts w:asciiTheme="minorEastAsia" w:hAnsiTheme="minorEastAsia" w:eastAsiaTheme="minorEastAsia"/>
                      <w:b/>
                      <w:color w:val="auto"/>
                      <w:szCs w:val="21"/>
                      <w:highlight w:val="none"/>
                    </w:rPr>
                  </w:pPr>
                  <w:r>
                    <w:rPr>
                      <w:rFonts w:hint="eastAsia" w:asciiTheme="minorEastAsia" w:hAnsiTheme="minorEastAsia" w:eastAsiaTheme="minorEastAsia"/>
                      <w:b/>
                      <w:color w:val="auto"/>
                      <w:szCs w:val="21"/>
                      <w:highlight w:val="none"/>
                    </w:rPr>
                    <w:t>2</w:t>
                  </w:r>
                </w:p>
              </w:tc>
              <w:tc>
                <w:tcPr>
                  <w:tcW w:w="917" w:type="pct"/>
                  <w:vMerge w:val="restart"/>
                  <w:vAlign w:val="center"/>
                </w:tcPr>
                <w:p w14:paraId="112EE2D6">
                  <w:pPr>
                    <w:jc w:val="center"/>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关于验收</w:t>
                  </w:r>
                </w:p>
              </w:tc>
              <w:tc>
                <w:tcPr>
                  <w:tcW w:w="3377" w:type="pct"/>
                </w:tcPr>
                <w:p w14:paraId="2F08C5BA">
                  <w:pPr>
                    <w:spacing w:line="340" w:lineRule="exact"/>
                    <w:rPr>
                      <w:rFonts w:asciiTheme="minorEastAsia" w:hAnsiTheme="minorEastAsia" w:eastAsiaTheme="minorEastAsia"/>
                      <w:bCs/>
                      <w:color w:val="auto"/>
                      <w:szCs w:val="21"/>
                      <w:highlight w:val="none"/>
                    </w:rPr>
                  </w:pPr>
                  <w:r>
                    <w:rPr>
                      <w:rFonts w:hint="eastAsia" w:asciiTheme="minorEastAsia" w:hAnsiTheme="minorEastAsia" w:eastAsiaTheme="minorEastAsia"/>
                      <w:bCs/>
                      <w:color w:val="auto"/>
                      <w:szCs w:val="21"/>
                      <w:highlight w:val="none"/>
                    </w:rPr>
                    <w:t>2.1</w:t>
                  </w:r>
                  <w:r>
                    <w:rPr>
                      <w:rFonts w:hint="eastAsia" w:ascii="宋体" w:hAnsi="宋体"/>
                      <w:color w:val="auto"/>
                      <w:szCs w:val="21"/>
                      <w:highlight w:val="none"/>
                    </w:rPr>
                    <w:t>中标人</w:t>
                  </w:r>
                  <w:r>
                    <w:rPr>
                      <w:rFonts w:hint="eastAsia" w:asciiTheme="minorEastAsia" w:hAnsiTheme="minorEastAsia" w:eastAsiaTheme="minorEastAsia"/>
                      <w:bCs/>
                      <w:color w:val="auto"/>
                      <w:szCs w:val="21"/>
                      <w:highlight w:val="none"/>
                    </w:rPr>
                    <w:t>货物经过双方检验认可后，签署验收报告，产品保修期自验收合格之日起算，由投标人提供产品保修文件。</w:t>
                  </w:r>
                </w:p>
              </w:tc>
            </w:tr>
            <w:tr w14:paraId="361134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trPr>
              <w:tc>
                <w:tcPr>
                  <w:tcW w:w="705" w:type="pct"/>
                  <w:vMerge w:val="continue"/>
                  <w:vAlign w:val="center"/>
                </w:tcPr>
                <w:p w14:paraId="7282273F">
                  <w:pPr>
                    <w:jc w:val="center"/>
                    <w:rPr>
                      <w:rFonts w:asciiTheme="minorEastAsia" w:hAnsiTheme="minorEastAsia" w:eastAsiaTheme="minorEastAsia"/>
                      <w:b/>
                      <w:color w:val="auto"/>
                      <w:szCs w:val="21"/>
                      <w:highlight w:val="none"/>
                    </w:rPr>
                  </w:pPr>
                </w:p>
              </w:tc>
              <w:tc>
                <w:tcPr>
                  <w:tcW w:w="917" w:type="pct"/>
                  <w:vMerge w:val="continue"/>
                  <w:vAlign w:val="center"/>
                </w:tcPr>
                <w:p w14:paraId="31C8DEA2">
                  <w:pPr>
                    <w:jc w:val="center"/>
                    <w:rPr>
                      <w:rFonts w:asciiTheme="minorEastAsia" w:hAnsiTheme="minorEastAsia" w:eastAsiaTheme="minorEastAsia"/>
                      <w:b/>
                      <w:color w:val="auto"/>
                      <w:szCs w:val="21"/>
                      <w:highlight w:val="none"/>
                    </w:rPr>
                  </w:pPr>
                </w:p>
              </w:tc>
              <w:tc>
                <w:tcPr>
                  <w:tcW w:w="3377" w:type="pct"/>
                </w:tcPr>
                <w:p w14:paraId="1E66634B">
                  <w:pPr>
                    <w:spacing w:line="340" w:lineRule="exact"/>
                    <w:rPr>
                      <w:rFonts w:asciiTheme="minorEastAsia" w:hAnsiTheme="minorEastAsia" w:eastAsiaTheme="minorEastAsia"/>
                      <w:bCs/>
                      <w:color w:val="auto"/>
                      <w:szCs w:val="21"/>
                      <w:highlight w:val="none"/>
                    </w:rPr>
                  </w:pPr>
                  <w:r>
                    <w:rPr>
                      <w:rFonts w:hint="eastAsia" w:asciiTheme="minorEastAsia" w:hAnsiTheme="minorEastAsia" w:eastAsiaTheme="minorEastAsia"/>
                      <w:bCs/>
                      <w:color w:val="auto"/>
                      <w:szCs w:val="21"/>
                      <w:highlight w:val="none"/>
                    </w:rPr>
                    <w:t>2.2当满足以下条件时，采购人才向中标人签发货物验收报告：</w:t>
                  </w:r>
                </w:p>
                <w:p w14:paraId="27E41401">
                  <w:pPr>
                    <w:tabs>
                      <w:tab w:val="left" w:pos="1260"/>
                    </w:tabs>
                    <w:spacing w:line="340" w:lineRule="exact"/>
                    <w:rPr>
                      <w:rFonts w:asciiTheme="minorEastAsia" w:hAnsiTheme="minorEastAsia" w:eastAsiaTheme="minorEastAsia"/>
                      <w:bCs/>
                      <w:color w:val="auto"/>
                      <w:szCs w:val="21"/>
                      <w:highlight w:val="none"/>
                    </w:rPr>
                  </w:pPr>
                  <w:r>
                    <w:rPr>
                      <w:rFonts w:asciiTheme="minorEastAsia" w:hAnsiTheme="minorEastAsia" w:eastAsiaTheme="minorEastAsia"/>
                      <w:bCs/>
                      <w:color w:val="auto"/>
                      <w:szCs w:val="21"/>
                      <w:highlight w:val="none"/>
                    </w:rPr>
                    <w:t>a</w:t>
                  </w:r>
                  <w:r>
                    <w:rPr>
                      <w:rFonts w:hint="eastAsia" w:asciiTheme="minorEastAsia" w:hAnsiTheme="minorEastAsia" w:eastAsiaTheme="minorEastAsia"/>
                      <w:bCs/>
                      <w:color w:val="auto"/>
                      <w:szCs w:val="21"/>
                      <w:highlight w:val="none"/>
                    </w:rPr>
                    <w:t>、中标人已按照合同规定提供了全部产品及完整的技术资料。</w:t>
                  </w:r>
                </w:p>
                <w:p w14:paraId="38FEF640">
                  <w:pPr>
                    <w:tabs>
                      <w:tab w:val="left" w:pos="1260"/>
                    </w:tabs>
                    <w:spacing w:line="340" w:lineRule="exact"/>
                    <w:rPr>
                      <w:rFonts w:asciiTheme="minorEastAsia" w:hAnsiTheme="minorEastAsia" w:eastAsiaTheme="minorEastAsia"/>
                      <w:bCs/>
                      <w:color w:val="auto"/>
                      <w:szCs w:val="21"/>
                      <w:highlight w:val="none"/>
                    </w:rPr>
                  </w:pPr>
                  <w:r>
                    <w:rPr>
                      <w:rFonts w:asciiTheme="minorEastAsia" w:hAnsiTheme="minorEastAsia" w:eastAsiaTheme="minorEastAsia"/>
                      <w:bCs/>
                      <w:color w:val="auto"/>
                      <w:szCs w:val="21"/>
                      <w:highlight w:val="none"/>
                    </w:rPr>
                    <w:t>b</w:t>
                  </w:r>
                  <w:r>
                    <w:rPr>
                      <w:rFonts w:hint="eastAsia" w:asciiTheme="minorEastAsia" w:hAnsiTheme="minorEastAsia" w:eastAsiaTheme="minorEastAsia"/>
                      <w:bCs/>
                      <w:color w:val="auto"/>
                      <w:szCs w:val="21"/>
                      <w:highlight w:val="none"/>
                    </w:rPr>
                    <w:t>、货物符合招标文件技术规格书的要求，性能满足要求。</w:t>
                  </w:r>
                </w:p>
              </w:tc>
            </w:tr>
            <w:tr w14:paraId="71FC21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trPr>
              <w:tc>
                <w:tcPr>
                  <w:tcW w:w="705" w:type="pct"/>
                  <w:vMerge w:val="continue"/>
                  <w:vAlign w:val="center"/>
                </w:tcPr>
                <w:p w14:paraId="51D3BC12">
                  <w:pPr>
                    <w:jc w:val="center"/>
                    <w:rPr>
                      <w:rFonts w:asciiTheme="minorEastAsia" w:hAnsiTheme="minorEastAsia" w:eastAsiaTheme="minorEastAsia"/>
                      <w:b/>
                      <w:color w:val="auto"/>
                      <w:szCs w:val="21"/>
                      <w:highlight w:val="none"/>
                    </w:rPr>
                  </w:pPr>
                </w:p>
              </w:tc>
              <w:tc>
                <w:tcPr>
                  <w:tcW w:w="917" w:type="pct"/>
                  <w:vMerge w:val="continue"/>
                  <w:vAlign w:val="center"/>
                </w:tcPr>
                <w:p w14:paraId="001D6972">
                  <w:pPr>
                    <w:jc w:val="center"/>
                    <w:rPr>
                      <w:rFonts w:asciiTheme="minorEastAsia" w:hAnsiTheme="minorEastAsia" w:eastAsiaTheme="minorEastAsia"/>
                      <w:b/>
                      <w:color w:val="auto"/>
                      <w:szCs w:val="21"/>
                      <w:highlight w:val="none"/>
                    </w:rPr>
                  </w:pPr>
                </w:p>
              </w:tc>
              <w:tc>
                <w:tcPr>
                  <w:tcW w:w="3377" w:type="pct"/>
                </w:tcPr>
                <w:p w14:paraId="1F27F0D8">
                  <w:pPr>
                    <w:rPr>
                      <w:rFonts w:asciiTheme="minorEastAsia" w:hAnsiTheme="minorEastAsia" w:eastAsiaTheme="minorEastAsia"/>
                      <w:b/>
                      <w:color w:val="auto"/>
                      <w:szCs w:val="21"/>
                      <w:highlight w:val="none"/>
                    </w:rPr>
                  </w:pPr>
                  <w:r>
                    <w:rPr>
                      <w:rFonts w:hint="eastAsia" w:asciiTheme="minorEastAsia" w:hAnsiTheme="minorEastAsia" w:eastAsiaTheme="minorEastAsia"/>
                      <w:bCs/>
                      <w:color w:val="auto"/>
                      <w:szCs w:val="21"/>
                      <w:highlight w:val="none"/>
                    </w:rPr>
                    <w:t>2.3</w:t>
                  </w:r>
                  <w:r>
                    <w:rPr>
                      <w:rFonts w:hint="eastAsia" w:ascii="宋体" w:hAnsi="宋体" w:cs="宋体"/>
                      <w:color w:val="auto"/>
                      <w:szCs w:val="21"/>
                      <w:highlight w:val="none"/>
                    </w:rPr>
                    <w:t>由</w:t>
                  </w:r>
                  <w:r>
                    <w:rPr>
                      <w:rFonts w:hint="eastAsia" w:ascii="宋体" w:hAnsi="宋体"/>
                      <w:color w:val="auto"/>
                      <w:szCs w:val="21"/>
                      <w:highlight w:val="none"/>
                    </w:rPr>
                    <w:t>中标人</w:t>
                  </w:r>
                  <w:r>
                    <w:rPr>
                      <w:rFonts w:hint="eastAsia" w:ascii="宋体" w:hAnsi="宋体" w:cs="宋体"/>
                      <w:color w:val="auto"/>
                      <w:szCs w:val="21"/>
                      <w:highlight w:val="none"/>
                    </w:rPr>
                    <w:t>代表和采购人组成验收小组对产品进行验收。验收标准按照国家规定标准执行。经检验设备正常运作后签署验收报告,产品保修期自验收合格之日起算。</w:t>
                  </w:r>
                </w:p>
              </w:tc>
            </w:tr>
            <w:tr w14:paraId="05FBBD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trPr>
              <w:tc>
                <w:tcPr>
                  <w:tcW w:w="705" w:type="pct"/>
                  <w:vMerge w:val="restart"/>
                  <w:vAlign w:val="center"/>
                </w:tcPr>
                <w:p w14:paraId="414D6A8C">
                  <w:pPr>
                    <w:jc w:val="center"/>
                    <w:rPr>
                      <w:rFonts w:asciiTheme="minorEastAsia" w:hAnsiTheme="minorEastAsia" w:eastAsiaTheme="minorEastAsia"/>
                      <w:color w:val="auto"/>
                      <w:szCs w:val="21"/>
                      <w:highlight w:val="none"/>
                    </w:rPr>
                  </w:pPr>
                  <w:r>
                    <w:rPr>
                      <w:rFonts w:hint="eastAsia" w:asciiTheme="minorEastAsia" w:hAnsiTheme="minorEastAsia" w:eastAsiaTheme="minorEastAsia"/>
                      <w:b/>
                      <w:color w:val="auto"/>
                      <w:szCs w:val="21"/>
                      <w:highlight w:val="none"/>
                    </w:rPr>
                    <w:t>3</w:t>
                  </w:r>
                </w:p>
              </w:tc>
              <w:tc>
                <w:tcPr>
                  <w:tcW w:w="917" w:type="pct"/>
                  <w:vMerge w:val="restart"/>
                  <w:vAlign w:val="center"/>
                </w:tcPr>
                <w:p w14:paraId="2E1DFE80">
                  <w:pPr>
                    <w:jc w:val="center"/>
                    <w:rPr>
                      <w:rFonts w:asciiTheme="minorEastAsia" w:hAnsiTheme="minorEastAsia" w:eastAsiaTheme="minorEastAsia"/>
                      <w:b/>
                      <w:color w:val="auto"/>
                      <w:szCs w:val="21"/>
                      <w:highlight w:val="none"/>
                    </w:rPr>
                  </w:pPr>
                  <w:r>
                    <w:rPr>
                      <w:rFonts w:hint="eastAsia" w:asciiTheme="minorEastAsia" w:hAnsiTheme="minorEastAsia" w:eastAsiaTheme="minorEastAsia"/>
                      <w:color w:val="auto"/>
                      <w:szCs w:val="21"/>
                      <w:highlight w:val="none"/>
                    </w:rPr>
                    <w:t>关于违约</w:t>
                  </w:r>
                </w:p>
              </w:tc>
              <w:tc>
                <w:tcPr>
                  <w:tcW w:w="3377" w:type="pct"/>
                </w:tcPr>
                <w:p w14:paraId="5CEE6CA3">
                  <w:pPr>
                    <w:rPr>
                      <w:rFonts w:asciiTheme="minorEastAsia" w:hAnsiTheme="minorEastAsia" w:eastAsiaTheme="minorEastAsia"/>
                      <w:b/>
                      <w:color w:val="auto"/>
                      <w:szCs w:val="21"/>
                      <w:highlight w:val="none"/>
                    </w:rPr>
                  </w:pPr>
                  <w:r>
                    <w:rPr>
                      <w:rFonts w:hint="eastAsia" w:asciiTheme="minorEastAsia" w:hAnsiTheme="minorEastAsia" w:eastAsiaTheme="minorEastAsia"/>
                      <w:b w:val="0"/>
                      <w:bCs/>
                      <w:color w:val="auto"/>
                      <w:szCs w:val="21"/>
                      <w:highlight w:val="none"/>
                    </w:rPr>
                    <w:t>3.1</w:t>
                  </w:r>
                  <w:r>
                    <w:rPr>
                      <w:rFonts w:hint="eastAsia" w:ascii="宋体" w:hAnsi="宋体"/>
                      <w:b w:val="0"/>
                      <w:bCs/>
                      <w:color w:val="auto"/>
                      <w:szCs w:val="21"/>
                      <w:highlight w:val="none"/>
                    </w:rPr>
                    <w:t>中标</w:t>
                  </w:r>
                  <w:r>
                    <w:rPr>
                      <w:rFonts w:hint="eastAsia" w:ascii="宋体" w:hAnsi="宋体"/>
                      <w:color w:val="auto"/>
                      <w:szCs w:val="21"/>
                      <w:highlight w:val="none"/>
                    </w:rPr>
                    <w:t>人</w:t>
                  </w:r>
                  <w:r>
                    <w:rPr>
                      <w:rFonts w:hint="eastAsia" w:ascii="宋体" w:hAnsi="宋体" w:cs="宋体"/>
                      <w:bCs/>
                      <w:color w:val="auto"/>
                      <w:szCs w:val="21"/>
                      <w:highlight w:val="none"/>
                    </w:rPr>
                    <w:t>未按照投标文件中承诺的时间交货或提供服务，投标人</w:t>
                  </w:r>
                  <w:r>
                    <w:rPr>
                      <w:rFonts w:hint="eastAsia" w:ascii="宋体" w:hAnsi="宋体" w:cs="宋体"/>
                      <w:color w:val="auto"/>
                      <w:szCs w:val="21"/>
                      <w:highlight w:val="none"/>
                    </w:rPr>
                    <w:t>应承担</w:t>
                  </w:r>
                  <w:r>
                    <w:rPr>
                      <w:rFonts w:hint="eastAsia" w:ascii="宋体" w:hAnsi="宋体" w:cs="宋体"/>
                      <w:bCs/>
                      <w:color w:val="auto"/>
                      <w:szCs w:val="21"/>
                      <w:highlight w:val="none"/>
                    </w:rPr>
                    <w:t>延期交货和延期服务的违约责任，并赔偿采购人因此造成的实际经济损失。实际经济损失超出履约保证金额，采购人有权终止合同。</w:t>
                  </w:r>
                </w:p>
              </w:tc>
            </w:tr>
            <w:tr w14:paraId="714BA8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trPr>
              <w:tc>
                <w:tcPr>
                  <w:tcW w:w="705" w:type="pct"/>
                  <w:vMerge w:val="continue"/>
                  <w:vAlign w:val="center"/>
                </w:tcPr>
                <w:p w14:paraId="2556F25B">
                  <w:pPr>
                    <w:jc w:val="center"/>
                    <w:rPr>
                      <w:rFonts w:hint="eastAsia" w:asciiTheme="minorEastAsia" w:hAnsiTheme="minorEastAsia" w:eastAsiaTheme="minorEastAsia"/>
                      <w:b/>
                      <w:color w:val="auto"/>
                      <w:szCs w:val="21"/>
                      <w:highlight w:val="none"/>
                    </w:rPr>
                  </w:pPr>
                </w:p>
              </w:tc>
              <w:tc>
                <w:tcPr>
                  <w:tcW w:w="917" w:type="pct"/>
                  <w:vMerge w:val="continue"/>
                  <w:vAlign w:val="center"/>
                </w:tcPr>
                <w:p w14:paraId="070945B2">
                  <w:pPr>
                    <w:jc w:val="center"/>
                    <w:rPr>
                      <w:rFonts w:hint="eastAsia" w:asciiTheme="minorEastAsia" w:hAnsiTheme="minorEastAsia" w:eastAsiaTheme="minorEastAsia"/>
                      <w:color w:val="auto"/>
                      <w:szCs w:val="21"/>
                      <w:highlight w:val="none"/>
                    </w:rPr>
                  </w:pPr>
                </w:p>
              </w:tc>
              <w:tc>
                <w:tcPr>
                  <w:tcW w:w="3377" w:type="pct"/>
                </w:tcPr>
                <w:p w14:paraId="06EF06C7">
                  <w:pPr>
                    <w:rPr>
                      <w:rFonts w:hint="eastAsia" w:asciiTheme="minorEastAsia" w:hAnsiTheme="minorEastAsia" w:eastAsiaTheme="minorEastAsia"/>
                      <w:b/>
                      <w:color w:val="auto"/>
                      <w:szCs w:val="21"/>
                      <w:highlight w:val="none"/>
                    </w:rPr>
                  </w:pPr>
                  <w:r>
                    <w:rPr>
                      <w:rFonts w:hint="eastAsia" w:ascii="宋体" w:hAnsi="宋体" w:cs="宋体"/>
                      <w:bCs/>
                      <w:color w:val="auto"/>
                      <w:szCs w:val="21"/>
                      <w:highlight w:val="none"/>
                      <w:lang w:val="en-US" w:eastAsia="zh-CN"/>
                    </w:rPr>
                    <w:t>3.2</w:t>
                  </w:r>
                  <w:r>
                    <w:rPr>
                      <w:rFonts w:hint="eastAsia" w:ascii="宋体" w:hAnsi="宋体"/>
                      <w:color w:val="auto"/>
                      <w:szCs w:val="21"/>
                      <w:highlight w:val="none"/>
                    </w:rPr>
                    <w:t>中标人</w:t>
                  </w:r>
                  <w:r>
                    <w:rPr>
                      <w:rFonts w:hint="eastAsia" w:ascii="宋体" w:hAnsi="宋体" w:cs="宋体"/>
                      <w:bCs/>
                      <w:color w:val="auto"/>
                      <w:szCs w:val="21"/>
                      <w:highlight w:val="none"/>
                    </w:rPr>
                    <w:t>所交设备的品种、型号、规格、质量、功能、技术参数等方面不能实质性满足招标文件</w:t>
                  </w:r>
                  <w:r>
                    <w:rPr>
                      <w:rFonts w:hint="eastAsia" w:ascii="宋体" w:hAnsi="宋体" w:cs="宋体"/>
                      <w:bCs/>
                      <w:color w:val="auto"/>
                      <w:szCs w:val="21"/>
                      <w:highlight w:val="none"/>
                      <w:lang w:eastAsia="zh-CN"/>
                    </w:rPr>
                    <w:t>要求</w:t>
                  </w:r>
                  <w:r>
                    <w:rPr>
                      <w:rFonts w:hint="eastAsia" w:ascii="宋体" w:hAnsi="宋体" w:cs="宋体"/>
                      <w:bCs/>
                      <w:color w:val="auto"/>
                      <w:szCs w:val="21"/>
                      <w:highlight w:val="none"/>
                    </w:rPr>
                    <w:t>的，采购人有权拒绝收货，</w:t>
                  </w:r>
                  <w:r>
                    <w:rPr>
                      <w:rFonts w:hint="eastAsia" w:ascii="宋体" w:hAnsi="宋体"/>
                      <w:color w:val="auto"/>
                      <w:szCs w:val="21"/>
                      <w:highlight w:val="none"/>
                    </w:rPr>
                    <w:t>中标人</w:t>
                  </w:r>
                  <w:r>
                    <w:rPr>
                      <w:rFonts w:hint="eastAsia" w:ascii="宋体" w:hAnsi="宋体" w:cs="宋体"/>
                      <w:bCs/>
                      <w:color w:val="auto"/>
                      <w:szCs w:val="21"/>
                      <w:highlight w:val="none"/>
                    </w:rPr>
                    <w:t>向采购人偿付项目采购金额千分之</w:t>
                  </w:r>
                  <w:r>
                    <w:rPr>
                      <w:rFonts w:hint="eastAsia" w:ascii="宋体" w:hAnsi="宋体" w:cs="宋体"/>
                      <w:bCs/>
                      <w:color w:val="auto"/>
                      <w:szCs w:val="21"/>
                      <w:highlight w:val="none"/>
                      <w:u w:val="single"/>
                    </w:rPr>
                    <w:t xml:space="preserve"> 10 </w:t>
                  </w:r>
                  <w:r>
                    <w:rPr>
                      <w:rFonts w:hint="eastAsia" w:ascii="宋体" w:hAnsi="宋体" w:cs="宋体"/>
                      <w:bCs/>
                      <w:color w:val="auto"/>
                      <w:szCs w:val="21"/>
                      <w:highlight w:val="none"/>
                    </w:rPr>
                    <w:t>的违约金；造成严重后果的，根据《深圳经济特区政府采购条例》第五十七条第（二）款规定，由主管部门对投标人进行处罚。</w:t>
                  </w:r>
                </w:p>
              </w:tc>
            </w:tr>
            <w:tr w14:paraId="325E88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trPr>
              <w:tc>
                <w:tcPr>
                  <w:tcW w:w="705" w:type="pct"/>
                  <w:vMerge w:val="continue"/>
                  <w:vAlign w:val="center"/>
                </w:tcPr>
                <w:p w14:paraId="7B40800C">
                  <w:pPr>
                    <w:jc w:val="center"/>
                    <w:rPr>
                      <w:rFonts w:hint="eastAsia" w:asciiTheme="minorEastAsia" w:hAnsiTheme="minorEastAsia" w:eastAsiaTheme="minorEastAsia"/>
                      <w:b/>
                      <w:color w:val="auto"/>
                      <w:szCs w:val="21"/>
                      <w:highlight w:val="none"/>
                    </w:rPr>
                  </w:pPr>
                </w:p>
              </w:tc>
              <w:tc>
                <w:tcPr>
                  <w:tcW w:w="917" w:type="pct"/>
                  <w:vMerge w:val="continue"/>
                  <w:vAlign w:val="center"/>
                </w:tcPr>
                <w:p w14:paraId="03B51EAD">
                  <w:pPr>
                    <w:jc w:val="center"/>
                    <w:rPr>
                      <w:rFonts w:hint="eastAsia" w:asciiTheme="minorEastAsia" w:hAnsiTheme="minorEastAsia" w:eastAsiaTheme="minorEastAsia"/>
                      <w:color w:val="auto"/>
                      <w:szCs w:val="21"/>
                      <w:highlight w:val="none"/>
                    </w:rPr>
                  </w:pPr>
                </w:p>
              </w:tc>
              <w:tc>
                <w:tcPr>
                  <w:tcW w:w="3377" w:type="pct"/>
                </w:tcPr>
                <w:p w14:paraId="4112F66F">
                  <w:pPr>
                    <w:rPr>
                      <w:rFonts w:hint="eastAsia" w:ascii="宋体" w:hAnsi="宋体" w:cs="宋体"/>
                      <w:bCs/>
                      <w:color w:val="auto"/>
                      <w:szCs w:val="21"/>
                      <w:highlight w:val="none"/>
                      <w:lang w:val="en-US" w:eastAsia="zh-CN"/>
                    </w:rPr>
                  </w:pPr>
                  <w:r>
                    <w:rPr>
                      <w:rFonts w:hint="eastAsia" w:ascii="宋体" w:hAnsi="宋体" w:cs="宋体"/>
                      <w:bCs/>
                      <w:color w:val="auto"/>
                      <w:szCs w:val="21"/>
                      <w:highlight w:val="none"/>
                      <w:lang w:val="en-US" w:eastAsia="zh-CN"/>
                    </w:rPr>
                    <w:t>3.3</w:t>
                  </w:r>
                  <w:r>
                    <w:rPr>
                      <w:rFonts w:hint="eastAsia" w:ascii="宋体" w:hAnsi="宋体"/>
                      <w:color w:val="auto"/>
                      <w:szCs w:val="21"/>
                      <w:highlight w:val="none"/>
                    </w:rPr>
                    <w:t>中标人</w:t>
                  </w:r>
                  <w:r>
                    <w:rPr>
                      <w:rFonts w:hint="eastAsia" w:ascii="宋体" w:hAnsi="宋体" w:cs="宋体"/>
                      <w:bCs/>
                      <w:color w:val="auto"/>
                      <w:szCs w:val="21"/>
                      <w:highlight w:val="none"/>
                    </w:rPr>
                    <w:t>不能交付设备的，投标人向采购人偿付项目采购金额百分之</w:t>
                  </w:r>
                  <w:r>
                    <w:rPr>
                      <w:rFonts w:hint="eastAsia" w:ascii="宋体" w:hAnsi="宋体" w:cs="宋体"/>
                      <w:bCs/>
                      <w:color w:val="auto"/>
                      <w:szCs w:val="21"/>
                      <w:highlight w:val="none"/>
                      <w:u w:val="single"/>
                    </w:rPr>
                    <w:t xml:space="preserve"> </w:t>
                  </w:r>
                  <w:r>
                    <w:rPr>
                      <w:rFonts w:hint="eastAsia" w:ascii="宋体" w:hAnsi="宋体" w:cs="宋体"/>
                      <w:bCs/>
                      <w:color w:val="auto"/>
                      <w:szCs w:val="21"/>
                      <w:highlight w:val="none"/>
                      <w:u w:val="single"/>
                      <w:lang w:val="en-US" w:eastAsia="zh-CN"/>
                    </w:rPr>
                    <w:t>5</w:t>
                  </w:r>
                  <w:r>
                    <w:rPr>
                      <w:rFonts w:hint="eastAsia" w:ascii="宋体" w:hAnsi="宋体" w:cs="宋体"/>
                      <w:bCs/>
                      <w:color w:val="auto"/>
                      <w:szCs w:val="21"/>
                      <w:highlight w:val="none"/>
                      <w:u w:val="single"/>
                    </w:rPr>
                    <w:t xml:space="preserve"> </w:t>
                  </w:r>
                  <w:r>
                    <w:rPr>
                      <w:rFonts w:hint="eastAsia" w:ascii="宋体" w:hAnsi="宋体" w:cs="宋体"/>
                      <w:bCs/>
                      <w:color w:val="auto"/>
                      <w:szCs w:val="21"/>
                      <w:highlight w:val="none"/>
                    </w:rPr>
                    <w:t>的违约金；造成严重后果的，根据《深圳经济特区政府采购条例》第五十七条第（二）款规定，由主管部门对投标人进行处罚。</w:t>
                  </w:r>
                </w:p>
              </w:tc>
            </w:tr>
            <w:tr w14:paraId="066C73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trPr>
              <w:tc>
                <w:tcPr>
                  <w:tcW w:w="705" w:type="pct"/>
                  <w:vMerge w:val="continue"/>
                  <w:vAlign w:val="center"/>
                </w:tcPr>
                <w:p w14:paraId="0649E539">
                  <w:pPr>
                    <w:jc w:val="center"/>
                    <w:rPr>
                      <w:rFonts w:hint="eastAsia" w:asciiTheme="minorEastAsia" w:hAnsiTheme="minorEastAsia" w:eastAsiaTheme="minorEastAsia"/>
                      <w:b/>
                      <w:color w:val="auto"/>
                      <w:szCs w:val="21"/>
                      <w:highlight w:val="none"/>
                    </w:rPr>
                  </w:pPr>
                </w:p>
              </w:tc>
              <w:tc>
                <w:tcPr>
                  <w:tcW w:w="917" w:type="pct"/>
                  <w:vMerge w:val="continue"/>
                  <w:vAlign w:val="center"/>
                </w:tcPr>
                <w:p w14:paraId="5DFB9A05">
                  <w:pPr>
                    <w:jc w:val="center"/>
                    <w:rPr>
                      <w:rFonts w:hint="eastAsia" w:asciiTheme="minorEastAsia" w:hAnsiTheme="minorEastAsia" w:eastAsiaTheme="minorEastAsia"/>
                      <w:color w:val="auto"/>
                      <w:szCs w:val="21"/>
                      <w:highlight w:val="none"/>
                    </w:rPr>
                  </w:pPr>
                </w:p>
              </w:tc>
              <w:tc>
                <w:tcPr>
                  <w:tcW w:w="3377" w:type="pct"/>
                </w:tcPr>
                <w:p w14:paraId="5849639C">
                  <w:pPr>
                    <w:rPr>
                      <w:rFonts w:hint="eastAsia" w:ascii="宋体" w:hAnsi="宋体" w:cs="宋体"/>
                      <w:bCs/>
                      <w:color w:val="auto"/>
                      <w:szCs w:val="21"/>
                      <w:highlight w:val="none"/>
                    </w:rPr>
                  </w:pPr>
                  <w:r>
                    <w:rPr>
                      <w:rFonts w:hint="eastAsia" w:ascii="宋体" w:hAnsi="宋体" w:cs="宋体"/>
                      <w:bCs/>
                      <w:color w:val="auto"/>
                      <w:szCs w:val="21"/>
                      <w:highlight w:val="none"/>
                      <w:lang w:val="en-US" w:eastAsia="zh-CN"/>
                    </w:rPr>
                    <w:t>3.4</w:t>
                  </w:r>
                  <w:r>
                    <w:rPr>
                      <w:rFonts w:hint="eastAsia" w:ascii="宋体" w:hAnsi="宋体"/>
                      <w:color w:val="auto"/>
                      <w:szCs w:val="21"/>
                      <w:highlight w:val="none"/>
                    </w:rPr>
                    <w:t>中标人</w:t>
                  </w:r>
                  <w:r>
                    <w:rPr>
                      <w:rFonts w:hint="eastAsia" w:ascii="宋体" w:hAnsi="宋体" w:cs="宋体"/>
                      <w:bCs/>
                      <w:color w:val="auto"/>
                      <w:szCs w:val="21"/>
                      <w:highlight w:val="none"/>
                    </w:rPr>
                    <w:t>逾期未交设备的，</w:t>
                  </w:r>
                  <w:r>
                    <w:rPr>
                      <w:rFonts w:hint="eastAsia" w:ascii="宋体" w:hAnsi="宋体"/>
                      <w:color w:val="auto"/>
                      <w:szCs w:val="21"/>
                      <w:highlight w:val="none"/>
                    </w:rPr>
                    <w:t>中标人</w:t>
                  </w:r>
                  <w:r>
                    <w:rPr>
                      <w:rFonts w:hint="eastAsia" w:ascii="宋体" w:hAnsi="宋体" w:cs="宋体"/>
                      <w:bCs/>
                      <w:color w:val="auto"/>
                      <w:szCs w:val="21"/>
                      <w:highlight w:val="none"/>
                    </w:rPr>
                    <w:t>向采购人每日偿付设备款千分之</w:t>
                  </w:r>
                  <w:r>
                    <w:rPr>
                      <w:rFonts w:hint="eastAsia" w:ascii="宋体" w:hAnsi="宋体" w:cs="宋体"/>
                      <w:bCs/>
                      <w:color w:val="auto"/>
                      <w:szCs w:val="21"/>
                      <w:highlight w:val="none"/>
                      <w:u w:val="single"/>
                    </w:rPr>
                    <w:t xml:space="preserve"> 1</w:t>
                  </w:r>
                  <w:r>
                    <w:rPr>
                      <w:rFonts w:hint="eastAsia" w:ascii="宋体" w:hAnsi="宋体" w:cs="宋体"/>
                      <w:bCs/>
                      <w:color w:val="auto"/>
                      <w:szCs w:val="21"/>
                      <w:highlight w:val="none"/>
                    </w:rPr>
                    <w:t>的违约金。中标人超过交货期限</w:t>
                  </w:r>
                  <w:r>
                    <w:rPr>
                      <w:rFonts w:hint="eastAsia" w:ascii="宋体" w:hAnsi="宋体" w:cs="宋体"/>
                      <w:bCs/>
                      <w:color w:val="auto"/>
                      <w:szCs w:val="21"/>
                      <w:highlight w:val="none"/>
                      <w:u w:val="single"/>
                    </w:rPr>
                    <w:t xml:space="preserve"> 10 </w:t>
                  </w:r>
                  <w:r>
                    <w:rPr>
                      <w:rFonts w:hint="eastAsia" w:ascii="宋体" w:hAnsi="宋体" w:cs="宋体"/>
                      <w:bCs/>
                      <w:color w:val="auto"/>
                      <w:szCs w:val="21"/>
                      <w:highlight w:val="none"/>
                    </w:rPr>
                    <w:t>日仍未交货，采购人有权解除合同</w:t>
                  </w:r>
                </w:p>
              </w:tc>
            </w:tr>
            <w:tr w14:paraId="406D76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4" w:hRule="atLeast"/>
              </w:trPr>
              <w:tc>
                <w:tcPr>
                  <w:tcW w:w="705" w:type="pct"/>
                  <w:vMerge w:val="continue"/>
                  <w:vAlign w:val="center"/>
                </w:tcPr>
                <w:p w14:paraId="40FCCE2C">
                  <w:pPr>
                    <w:jc w:val="center"/>
                    <w:rPr>
                      <w:rFonts w:hint="eastAsia" w:asciiTheme="minorEastAsia" w:hAnsiTheme="minorEastAsia" w:eastAsiaTheme="minorEastAsia"/>
                      <w:b/>
                      <w:color w:val="auto"/>
                      <w:szCs w:val="21"/>
                      <w:highlight w:val="none"/>
                    </w:rPr>
                  </w:pPr>
                </w:p>
              </w:tc>
              <w:tc>
                <w:tcPr>
                  <w:tcW w:w="917" w:type="pct"/>
                  <w:vMerge w:val="continue"/>
                  <w:vAlign w:val="center"/>
                </w:tcPr>
                <w:p w14:paraId="5E836438">
                  <w:pPr>
                    <w:jc w:val="center"/>
                    <w:rPr>
                      <w:rFonts w:hint="eastAsia" w:asciiTheme="minorEastAsia" w:hAnsiTheme="minorEastAsia" w:eastAsiaTheme="minorEastAsia"/>
                      <w:color w:val="auto"/>
                      <w:szCs w:val="21"/>
                      <w:highlight w:val="none"/>
                    </w:rPr>
                  </w:pPr>
                </w:p>
              </w:tc>
              <w:tc>
                <w:tcPr>
                  <w:tcW w:w="3377" w:type="pct"/>
                </w:tcPr>
                <w:p w14:paraId="58F20F63">
                  <w:pPr>
                    <w:rPr>
                      <w:rFonts w:hint="eastAsia" w:ascii="宋体" w:hAnsi="宋体" w:cs="宋体"/>
                      <w:bCs/>
                      <w:color w:val="auto"/>
                      <w:szCs w:val="21"/>
                      <w:highlight w:val="none"/>
                    </w:rPr>
                  </w:pPr>
                  <w:r>
                    <w:rPr>
                      <w:rFonts w:hint="eastAsia" w:ascii="宋体" w:hAnsi="宋体" w:cs="宋体"/>
                      <w:b w:val="0"/>
                      <w:bCs/>
                      <w:color w:val="auto"/>
                      <w:szCs w:val="21"/>
                      <w:highlight w:val="none"/>
                      <w:lang w:val="en-US" w:eastAsia="zh-CN"/>
                    </w:rPr>
                    <w:t>3.5</w:t>
                  </w:r>
                  <w:r>
                    <w:rPr>
                      <w:rFonts w:hint="eastAsia" w:ascii="宋体" w:hAnsi="宋体"/>
                      <w:b w:val="0"/>
                      <w:bCs/>
                      <w:color w:val="auto"/>
                      <w:szCs w:val="21"/>
                      <w:highlight w:val="none"/>
                    </w:rPr>
                    <w:t>中标人</w:t>
                  </w:r>
                  <w:r>
                    <w:rPr>
                      <w:rFonts w:hint="eastAsia" w:asciiTheme="minorEastAsia" w:hAnsiTheme="minorEastAsia" w:eastAsiaTheme="minorEastAsia"/>
                      <w:b w:val="0"/>
                      <w:bCs/>
                      <w:color w:val="auto"/>
                      <w:szCs w:val="21"/>
                      <w:highlight w:val="none"/>
                    </w:rPr>
                    <w:t>逾期交货的，将被没收履约保证金并按主管部门相关规定处理</w:t>
                  </w:r>
                  <w:r>
                    <w:rPr>
                      <w:rFonts w:hint="eastAsia" w:asciiTheme="minorEastAsia" w:hAnsiTheme="minorEastAsia" w:eastAsiaTheme="minorEastAsia"/>
                      <w:b w:val="0"/>
                      <w:bCs/>
                      <w:color w:val="auto"/>
                      <w:szCs w:val="21"/>
                      <w:highlight w:val="none"/>
                      <w:lang w:eastAsia="zh-CN"/>
                    </w:rPr>
                    <w:t>，</w:t>
                  </w:r>
                  <w:r>
                    <w:rPr>
                      <w:rFonts w:hint="eastAsia" w:ascii="宋体" w:hAnsi="宋体" w:cs="宋体"/>
                      <w:b w:val="0"/>
                      <w:bCs/>
                      <w:color w:val="auto"/>
                      <w:szCs w:val="21"/>
                      <w:highlight w:val="none"/>
                    </w:rPr>
                    <w:t>违约金先从由投标人履约保证金中扣除，若有不足部分则由</w:t>
                  </w:r>
                  <w:r>
                    <w:rPr>
                      <w:rFonts w:hint="eastAsia" w:ascii="宋体" w:hAnsi="宋体"/>
                      <w:b w:val="0"/>
                      <w:bCs/>
                      <w:color w:val="auto"/>
                      <w:szCs w:val="21"/>
                      <w:highlight w:val="none"/>
                    </w:rPr>
                    <w:t>中标人</w:t>
                  </w:r>
                  <w:r>
                    <w:rPr>
                      <w:rFonts w:hint="eastAsia" w:ascii="宋体" w:hAnsi="宋体" w:cs="宋体"/>
                      <w:b w:val="0"/>
                      <w:bCs/>
                      <w:color w:val="auto"/>
                      <w:szCs w:val="21"/>
                      <w:highlight w:val="none"/>
                    </w:rPr>
                    <w:t>补齐。</w:t>
                  </w:r>
                </w:p>
              </w:tc>
            </w:tr>
            <w:tr w14:paraId="2DFFB9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34" w:hRule="atLeast"/>
              </w:trPr>
              <w:tc>
                <w:tcPr>
                  <w:tcW w:w="705" w:type="pct"/>
                  <w:vMerge w:val="continue"/>
                  <w:vAlign w:val="center"/>
                </w:tcPr>
                <w:p w14:paraId="5F796B1A">
                  <w:pPr>
                    <w:jc w:val="center"/>
                    <w:rPr>
                      <w:rFonts w:asciiTheme="minorEastAsia" w:hAnsiTheme="minorEastAsia" w:eastAsiaTheme="minorEastAsia"/>
                      <w:b/>
                      <w:color w:val="auto"/>
                      <w:szCs w:val="21"/>
                      <w:highlight w:val="none"/>
                    </w:rPr>
                  </w:pPr>
                </w:p>
              </w:tc>
              <w:tc>
                <w:tcPr>
                  <w:tcW w:w="917" w:type="pct"/>
                  <w:vMerge w:val="continue"/>
                  <w:vAlign w:val="center"/>
                </w:tcPr>
                <w:p w14:paraId="0186A77A">
                  <w:pPr>
                    <w:jc w:val="center"/>
                    <w:rPr>
                      <w:rFonts w:asciiTheme="minorEastAsia" w:hAnsiTheme="minorEastAsia" w:eastAsiaTheme="minorEastAsia"/>
                      <w:color w:val="auto"/>
                      <w:szCs w:val="21"/>
                      <w:highlight w:val="none"/>
                    </w:rPr>
                  </w:pPr>
                </w:p>
              </w:tc>
              <w:tc>
                <w:tcPr>
                  <w:tcW w:w="3377" w:type="pct"/>
                </w:tcPr>
                <w:p w14:paraId="1CCBFA13">
                  <w:pPr>
                    <w:rPr>
                      <w:rFonts w:asciiTheme="minorEastAsia" w:hAnsiTheme="minorEastAsia" w:eastAsiaTheme="minorEastAsia"/>
                      <w:b/>
                      <w:color w:val="auto"/>
                      <w:szCs w:val="21"/>
                      <w:highlight w:val="none"/>
                    </w:rPr>
                  </w:pPr>
                  <w:r>
                    <w:rPr>
                      <w:rFonts w:hint="eastAsia" w:asciiTheme="minorEastAsia" w:hAnsiTheme="minorEastAsia" w:eastAsiaTheme="minorEastAsia"/>
                      <w:b w:val="0"/>
                      <w:bCs/>
                      <w:color w:val="auto"/>
                      <w:szCs w:val="21"/>
                      <w:highlight w:val="none"/>
                    </w:rPr>
                    <w:t>3.</w:t>
                  </w:r>
                  <w:r>
                    <w:rPr>
                      <w:rFonts w:hint="eastAsia" w:asciiTheme="minorEastAsia" w:hAnsiTheme="minorEastAsia" w:eastAsiaTheme="minorEastAsia"/>
                      <w:b w:val="0"/>
                      <w:bCs/>
                      <w:color w:val="auto"/>
                      <w:szCs w:val="21"/>
                      <w:highlight w:val="none"/>
                      <w:lang w:val="en-US" w:eastAsia="zh-CN"/>
                    </w:rPr>
                    <w:t>6</w:t>
                  </w:r>
                  <w:r>
                    <w:rPr>
                      <w:rFonts w:hint="eastAsia" w:ascii="宋体" w:hAnsi="宋体"/>
                      <w:b w:val="0"/>
                      <w:bCs/>
                      <w:color w:val="auto"/>
                      <w:szCs w:val="21"/>
                      <w:highlight w:val="none"/>
                    </w:rPr>
                    <w:t>中标人</w:t>
                  </w:r>
                  <w:r>
                    <w:rPr>
                      <w:rFonts w:hint="eastAsia" w:asciiTheme="minorEastAsia" w:hAnsiTheme="minorEastAsia" w:eastAsiaTheme="minorEastAsia"/>
                      <w:b w:val="0"/>
                      <w:bCs/>
                      <w:color w:val="auto"/>
                      <w:szCs w:val="21"/>
                      <w:highlight w:val="none"/>
                    </w:rPr>
                    <w:t>所交付产品、工程或服务不符合其投标承诺的，或在投标阶段为了中标而盲目虚假承诺、低价恶性竞争，在履约阶段则通过偷工减料、以次充好而获取利润的，将被没收履约保证金，并被履约评价工作实施机构评为履约等级“差”并按主管部门相关规定处理。</w:t>
                  </w:r>
                </w:p>
              </w:tc>
            </w:tr>
            <w:tr w14:paraId="117850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trPr>
              <w:tc>
                <w:tcPr>
                  <w:tcW w:w="705" w:type="pct"/>
                  <w:vAlign w:val="center"/>
                </w:tcPr>
                <w:p w14:paraId="2C1A6A2A">
                  <w:pPr>
                    <w:jc w:val="center"/>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4</w:t>
                  </w:r>
                </w:p>
              </w:tc>
              <w:tc>
                <w:tcPr>
                  <w:tcW w:w="917" w:type="pct"/>
                  <w:vAlign w:val="center"/>
                </w:tcPr>
                <w:p w14:paraId="7ADA2DCB">
                  <w:pPr>
                    <w:jc w:val="center"/>
                    <w:rPr>
                      <w:rFonts w:asciiTheme="minorEastAsia" w:hAnsiTheme="minorEastAsia" w:eastAsiaTheme="minorEastAsia"/>
                      <w:b/>
                      <w:szCs w:val="21"/>
                      <w:highlight w:val="none"/>
                    </w:rPr>
                  </w:pPr>
                  <w:r>
                    <w:rPr>
                      <w:rFonts w:hint="eastAsia" w:asciiTheme="minorEastAsia" w:hAnsiTheme="minorEastAsia" w:eastAsiaTheme="minorEastAsia"/>
                      <w:b/>
                      <w:szCs w:val="21"/>
                      <w:highlight w:val="none"/>
                    </w:rPr>
                    <w:t>关于付款</w:t>
                  </w:r>
                </w:p>
              </w:tc>
              <w:tc>
                <w:tcPr>
                  <w:tcW w:w="3377" w:type="pct"/>
                </w:tcPr>
                <w:p w14:paraId="7B0DA9F4">
                  <w:pPr>
                    <w:rPr>
                      <w:rFonts w:hint="eastAsia" w:asciiTheme="minorEastAsia" w:hAnsiTheme="minorEastAsia" w:eastAsiaTheme="minorEastAsia"/>
                      <w:b w:val="0"/>
                      <w:bCs/>
                      <w:color w:val="auto"/>
                      <w:szCs w:val="21"/>
                      <w:highlight w:val="none"/>
                    </w:rPr>
                  </w:pPr>
                  <w:r>
                    <w:rPr>
                      <w:rFonts w:hint="eastAsia" w:asciiTheme="minorEastAsia" w:hAnsiTheme="minorEastAsia" w:eastAsiaTheme="minorEastAsia"/>
                      <w:b w:val="0"/>
                      <w:bCs/>
                      <w:color w:val="auto"/>
                      <w:szCs w:val="21"/>
                      <w:highlight w:val="none"/>
                      <w:lang w:val="en-US" w:eastAsia="zh-CN"/>
                    </w:rPr>
                    <w:t>4.1</w:t>
                  </w:r>
                  <w:r>
                    <w:rPr>
                      <w:rFonts w:hint="eastAsia" w:asciiTheme="minorEastAsia" w:hAnsiTheme="minorEastAsia" w:eastAsiaTheme="minorEastAsia"/>
                      <w:b w:val="0"/>
                      <w:bCs/>
                      <w:color w:val="auto"/>
                      <w:szCs w:val="21"/>
                      <w:highlight w:val="none"/>
                    </w:rPr>
                    <w:t>全部合同货物到达交货地点，并安装调试且验收合格后，</w:t>
                  </w:r>
                  <w:r>
                    <w:rPr>
                      <w:rFonts w:hint="eastAsia" w:asciiTheme="minorEastAsia" w:hAnsiTheme="minorEastAsia" w:eastAsiaTheme="minorEastAsia"/>
                      <w:b w:val="0"/>
                      <w:bCs/>
                      <w:color w:val="auto"/>
                      <w:szCs w:val="21"/>
                      <w:highlight w:val="none"/>
                      <w:lang w:eastAsia="zh-CN"/>
                    </w:rPr>
                    <w:t>提交验收资料</w:t>
                  </w:r>
                  <w:r>
                    <w:rPr>
                      <w:rFonts w:hint="eastAsia" w:asciiTheme="minorEastAsia" w:hAnsiTheme="minorEastAsia" w:eastAsiaTheme="minorEastAsia"/>
                      <w:b w:val="0"/>
                      <w:bCs/>
                      <w:color w:val="auto"/>
                      <w:szCs w:val="21"/>
                      <w:highlight w:val="none"/>
                    </w:rPr>
                    <w:t>，采购人在收到</w:t>
                  </w:r>
                  <w:r>
                    <w:rPr>
                      <w:rFonts w:hint="eastAsia" w:asciiTheme="minorEastAsia" w:hAnsiTheme="minorEastAsia" w:eastAsiaTheme="minorEastAsia"/>
                      <w:b w:val="0"/>
                      <w:bCs/>
                      <w:color w:val="auto"/>
                      <w:szCs w:val="21"/>
                      <w:highlight w:val="none"/>
                      <w:lang w:eastAsia="zh-CN"/>
                    </w:rPr>
                    <w:t>验收资料和</w:t>
                  </w:r>
                  <w:r>
                    <w:rPr>
                      <w:rFonts w:hint="eastAsia" w:asciiTheme="minorEastAsia" w:hAnsiTheme="minorEastAsia" w:eastAsiaTheme="minorEastAsia"/>
                      <w:b w:val="0"/>
                      <w:bCs/>
                      <w:color w:val="auto"/>
                      <w:szCs w:val="21"/>
                      <w:highlight w:val="none"/>
                    </w:rPr>
                    <w:t xml:space="preserve">发票后向中标人支付合同总价的 </w:t>
                  </w:r>
                  <w:r>
                    <w:rPr>
                      <w:rFonts w:hint="eastAsia" w:asciiTheme="minorEastAsia" w:hAnsiTheme="minorEastAsia" w:eastAsiaTheme="minorEastAsia"/>
                      <w:b w:val="0"/>
                      <w:bCs/>
                      <w:color w:val="auto"/>
                      <w:szCs w:val="21"/>
                      <w:highlight w:val="none"/>
                      <w:u w:val="single"/>
                    </w:rPr>
                    <w:t xml:space="preserve"> </w:t>
                  </w:r>
                  <w:r>
                    <w:rPr>
                      <w:rFonts w:hint="eastAsia" w:asciiTheme="minorEastAsia" w:hAnsiTheme="minorEastAsia" w:eastAsiaTheme="minorEastAsia"/>
                      <w:b w:val="0"/>
                      <w:bCs/>
                      <w:color w:val="auto"/>
                      <w:szCs w:val="21"/>
                      <w:highlight w:val="none"/>
                      <w:u w:val="single"/>
                      <w:lang w:val="en-US" w:eastAsia="zh-CN"/>
                    </w:rPr>
                    <w:t>100</w:t>
                  </w:r>
                  <w:r>
                    <w:rPr>
                      <w:rFonts w:hint="eastAsia" w:asciiTheme="minorEastAsia" w:hAnsiTheme="minorEastAsia" w:eastAsiaTheme="minorEastAsia"/>
                      <w:b w:val="0"/>
                      <w:bCs/>
                      <w:color w:val="auto"/>
                      <w:szCs w:val="21"/>
                      <w:highlight w:val="none"/>
                      <w:u w:val="single"/>
                    </w:rPr>
                    <w:t xml:space="preserve"> </w:t>
                  </w:r>
                  <w:r>
                    <w:rPr>
                      <w:rFonts w:hint="eastAsia" w:asciiTheme="minorEastAsia" w:hAnsiTheme="minorEastAsia" w:eastAsiaTheme="minorEastAsia"/>
                      <w:b w:val="0"/>
                      <w:bCs/>
                      <w:color w:val="auto"/>
                      <w:szCs w:val="21"/>
                      <w:highlight w:val="none"/>
                    </w:rPr>
                    <w:t xml:space="preserve">  %。</w:t>
                  </w:r>
                </w:p>
                <w:p w14:paraId="5549CAD4">
                  <w:pPr>
                    <w:rPr>
                      <w:rFonts w:hint="eastAsia" w:asciiTheme="minorEastAsia" w:hAnsiTheme="minorEastAsia" w:eastAsiaTheme="minorEastAsia"/>
                      <w:b w:val="0"/>
                      <w:bCs/>
                      <w:color w:val="auto"/>
                      <w:szCs w:val="21"/>
                      <w:highlight w:val="none"/>
                    </w:rPr>
                  </w:pPr>
                  <w:r>
                    <w:rPr>
                      <w:rFonts w:hint="eastAsia" w:asciiTheme="minorEastAsia" w:hAnsiTheme="minorEastAsia" w:eastAsiaTheme="minorEastAsia"/>
                      <w:b w:val="0"/>
                      <w:bCs/>
                      <w:color w:val="auto"/>
                      <w:szCs w:val="21"/>
                      <w:highlight w:val="none"/>
                      <w:lang w:val="en-US" w:eastAsia="zh-CN"/>
                    </w:rPr>
                    <w:t>4.2</w:t>
                  </w:r>
                  <w:r>
                    <w:rPr>
                      <w:rFonts w:hint="eastAsia" w:asciiTheme="minorEastAsia" w:hAnsiTheme="minorEastAsia" w:eastAsiaTheme="minorEastAsia"/>
                      <w:b w:val="0"/>
                      <w:bCs/>
                      <w:color w:val="auto"/>
                      <w:szCs w:val="21"/>
                      <w:highlight w:val="none"/>
                    </w:rPr>
                    <w:t>每次</w:t>
                  </w:r>
                  <w:r>
                    <w:rPr>
                      <w:rFonts w:hint="eastAsia" w:asciiTheme="minorEastAsia" w:hAnsiTheme="minorEastAsia" w:eastAsiaTheme="minorEastAsia"/>
                      <w:b w:val="0"/>
                      <w:bCs/>
                      <w:color w:val="auto"/>
                      <w:szCs w:val="21"/>
                      <w:highlight w:val="none"/>
                      <w:lang w:eastAsia="zh-TW"/>
                    </w:rPr>
                    <w:t>按合同支付款项前，</w:t>
                  </w:r>
                  <w:r>
                    <w:rPr>
                      <w:rFonts w:hint="eastAsia" w:asciiTheme="minorEastAsia" w:hAnsiTheme="minorEastAsia" w:eastAsiaTheme="minorEastAsia"/>
                      <w:b w:val="0"/>
                      <w:bCs/>
                      <w:color w:val="auto"/>
                      <w:szCs w:val="21"/>
                      <w:highlight w:val="none"/>
                    </w:rPr>
                    <w:t>中标人应</w:t>
                  </w:r>
                  <w:r>
                    <w:rPr>
                      <w:rFonts w:hint="eastAsia" w:asciiTheme="minorEastAsia" w:hAnsiTheme="minorEastAsia" w:eastAsiaTheme="minorEastAsia"/>
                      <w:b w:val="0"/>
                      <w:bCs/>
                      <w:color w:val="auto"/>
                      <w:szCs w:val="21"/>
                      <w:highlight w:val="none"/>
                      <w:lang w:eastAsia="zh-TW"/>
                    </w:rPr>
                    <w:t>向采购人提供与支付金额相符的有效发票，且收款方、出具发票方、合同乙方均必须与</w:t>
                  </w:r>
                  <w:r>
                    <w:rPr>
                      <w:rFonts w:hint="eastAsia" w:asciiTheme="minorEastAsia" w:hAnsiTheme="minorEastAsia" w:eastAsiaTheme="minorEastAsia"/>
                      <w:b w:val="0"/>
                      <w:bCs/>
                      <w:color w:val="auto"/>
                      <w:szCs w:val="21"/>
                      <w:highlight w:val="none"/>
                    </w:rPr>
                    <w:t>中标人</w:t>
                  </w:r>
                  <w:r>
                    <w:rPr>
                      <w:rFonts w:hint="eastAsia" w:asciiTheme="minorEastAsia" w:hAnsiTheme="minorEastAsia" w:eastAsiaTheme="minorEastAsia"/>
                      <w:b w:val="0"/>
                      <w:bCs/>
                      <w:color w:val="auto"/>
                      <w:szCs w:val="21"/>
                      <w:highlight w:val="none"/>
                      <w:lang w:eastAsia="zh-TW"/>
                    </w:rPr>
                    <w:t>名称一致；</w:t>
                  </w:r>
                </w:p>
                <w:p w14:paraId="53B03629">
                  <w:pPr>
                    <w:rPr>
                      <w:rFonts w:asciiTheme="minorEastAsia" w:hAnsiTheme="minorEastAsia" w:eastAsiaTheme="minorEastAsia"/>
                      <w:b/>
                      <w:szCs w:val="21"/>
                      <w:highlight w:val="none"/>
                    </w:rPr>
                  </w:pPr>
                  <w:r>
                    <w:rPr>
                      <w:rFonts w:hint="eastAsia" w:asciiTheme="minorEastAsia" w:hAnsiTheme="minorEastAsia" w:eastAsiaTheme="minorEastAsia"/>
                      <w:b w:val="0"/>
                      <w:bCs/>
                      <w:color w:val="auto"/>
                      <w:szCs w:val="21"/>
                      <w:highlight w:val="none"/>
                      <w:lang w:val="en-US" w:eastAsia="zh-CN"/>
                    </w:rPr>
                    <w:t>4.3</w:t>
                  </w:r>
                  <w:r>
                    <w:rPr>
                      <w:rFonts w:hint="eastAsia" w:asciiTheme="minorEastAsia" w:hAnsiTheme="minorEastAsia" w:eastAsiaTheme="minorEastAsia"/>
                      <w:b w:val="0"/>
                      <w:bCs/>
                      <w:color w:val="auto"/>
                      <w:szCs w:val="21"/>
                      <w:highlight w:val="none"/>
                    </w:rPr>
                    <w:t>违约责任：</w:t>
                  </w:r>
                  <w:r>
                    <w:rPr>
                      <w:rFonts w:hint="eastAsia" w:asciiTheme="minorEastAsia" w:hAnsiTheme="minorEastAsia" w:eastAsiaTheme="minorEastAsia"/>
                      <w:b w:val="0"/>
                      <w:bCs/>
                      <w:color w:val="auto"/>
                      <w:szCs w:val="21"/>
                      <w:highlight w:val="none"/>
                      <w:lang w:eastAsia="zh-TW"/>
                    </w:rPr>
                    <w:t>采购人逾期</w:t>
                  </w:r>
                  <w:r>
                    <w:rPr>
                      <w:rFonts w:hint="eastAsia" w:asciiTheme="minorEastAsia" w:hAnsiTheme="minorEastAsia" w:eastAsiaTheme="minorEastAsia"/>
                      <w:b w:val="0"/>
                      <w:bCs/>
                      <w:color w:val="auto"/>
                      <w:szCs w:val="21"/>
                      <w:highlight w:val="none"/>
                    </w:rPr>
                    <w:t>支付合同款项</w:t>
                  </w:r>
                  <w:r>
                    <w:rPr>
                      <w:rFonts w:hint="eastAsia" w:asciiTheme="minorEastAsia" w:hAnsiTheme="minorEastAsia" w:eastAsiaTheme="minorEastAsia"/>
                      <w:b w:val="0"/>
                      <w:bCs/>
                      <w:color w:val="auto"/>
                      <w:szCs w:val="21"/>
                      <w:highlight w:val="none"/>
                      <w:lang w:eastAsia="zh-TW"/>
                    </w:rPr>
                    <w:t>的，除应当</w:t>
                  </w:r>
                  <w:r>
                    <w:rPr>
                      <w:rFonts w:hint="eastAsia" w:asciiTheme="minorEastAsia" w:hAnsiTheme="minorEastAsia" w:eastAsiaTheme="minorEastAsia"/>
                      <w:b w:val="0"/>
                      <w:bCs/>
                      <w:color w:val="auto"/>
                      <w:szCs w:val="21"/>
                      <w:highlight w:val="none"/>
                    </w:rPr>
                    <w:t>支付合同款项</w:t>
                  </w:r>
                  <w:r>
                    <w:rPr>
                      <w:rFonts w:hint="eastAsia" w:asciiTheme="minorEastAsia" w:hAnsiTheme="minorEastAsia" w:eastAsiaTheme="minorEastAsia"/>
                      <w:b w:val="0"/>
                      <w:bCs/>
                      <w:color w:val="auto"/>
                      <w:szCs w:val="21"/>
                      <w:highlight w:val="none"/>
                      <w:lang w:eastAsia="zh-TW"/>
                    </w:rPr>
                    <w:t>外，还应当每日按合同总价的</w:t>
                  </w:r>
                  <w:r>
                    <w:rPr>
                      <w:rFonts w:hint="eastAsia" w:asciiTheme="minorEastAsia" w:hAnsiTheme="minorEastAsia" w:eastAsiaTheme="minorEastAsia"/>
                      <w:b w:val="0"/>
                      <w:bCs/>
                      <w:color w:val="auto"/>
                      <w:szCs w:val="21"/>
                      <w:highlight w:val="none"/>
                      <w:lang w:val="en-US" w:eastAsia="zh-CN"/>
                    </w:rPr>
                    <w:t>1</w:t>
                  </w:r>
                  <w:r>
                    <w:rPr>
                      <w:rFonts w:hint="eastAsia" w:asciiTheme="minorEastAsia" w:hAnsiTheme="minorEastAsia" w:eastAsiaTheme="minorEastAsia"/>
                      <w:b w:val="0"/>
                      <w:bCs/>
                      <w:color w:val="auto"/>
                      <w:szCs w:val="21"/>
                      <w:highlight w:val="none"/>
                      <w:lang w:eastAsia="zh-TW"/>
                    </w:rPr>
                    <w:t>‰向</w:t>
                  </w:r>
                  <w:r>
                    <w:rPr>
                      <w:rFonts w:hint="eastAsia" w:asciiTheme="minorEastAsia" w:hAnsiTheme="minorEastAsia" w:eastAsiaTheme="minorEastAsia"/>
                      <w:b w:val="0"/>
                      <w:bCs/>
                      <w:color w:val="auto"/>
                      <w:szCs w:val="21"/>
                      <w:highlight w:val="none"/>
                    </w:rPr>
                    <w:t>中标人</w:t>
                  </w:r>
                  <w:r>
                    <w:rPr>
                      <w:rFonts w:hint="eastAsia" w:asciiTheme="minorEastAsia" w:hAnsiTheme="minorEastAsia" w:eastAsiaTheme="minorEastAsia"/>
                      <w:b w:val="0"/>
                      <w:bCs/>
                      <w:color w:val="auto"/>
                      <w:szCs w:val="21"/>
                      <w:highlight w:val="none"/>
                      <w:lang w:eastAsia="zh-TW"/>
                    </w:rPr>
                    <w:t>偿付违约金，但因</w:t>
                  </w:r>
                  <w:r>
                    <w:rPr>
                      <w:rFonts w:hint="eastAsia" w:asciiTheme="minorEastAsia" w:hAnsiTheme="minorEastAsia" w:eastAsiaTheme="minorEastAsia"/>
                      <w:b w:val="0"/>
                      <w:bCs/>
                      <w:color w:val="auto"/>
                      <w:szCs w:val="21"/>
                      <w:highlight w:val="none"/>
                    </w:rPr>
                    <w:t>中标人</w:t>
                  </w:r>
                  <w:r>
                    <w:rPr>
                      <w:rFonts w:hint="eastAsia" w:asciiTheme="minorEastAsia" w:hAnsiTheme="minorEastAsia" w:eastAsiaTheme="minorEastAsia"/>
                      <w:b w:val="0"/>
                      <w:bCs/>
                      <w:color w:val="auto"/>
                      <w:szCs w:val="21"/>
                      <w:highlight w:val="none"/>
                      <w:lang w:eastAsia="zh-TW"/>
                    </w:rPr>
                    <w:t>自身原因导致无法及时</w:t>
                  </w:r>
                  <w:r>
                    <w:rPr>
                      <w:rFonts w:hint="eastAsia" w:asciiTheme="minorEastAsia" w:hAnsiTheme="minorEastAsia" w:eastAsiaTheme="minorEastAsia"/>
                      <w:b w:val="0"/>
                      <w:bCs/>
                      <w:color w:val="auto"/>
                      <w:szCs w:val="21"/>
                      <w:highlight w:val="none"/>
                    </w:rPr>
                    <w:t>支付</w:t>
                  </w:r>
                  <w:r>
                    <w:rPr>
                      <w:rFonts w:hint="eastAsia" w:asciiTheme="minorEastAsia" w:hAnsiTheme="minorEastAsia" w:eastAsiaTheme="minorEastAsia"/>
                      <w:b w:val="0"/>
                      <w:bCs/>
                      <w:color w:val="auto"/>
                      <w:szCs w:val="21"/>
                      <w:highlight w:val="none"/>
                      <w:lang w:eastAsia="zh-TW"/>
                    </w:rPr>
                    <w:t>的除外</w:t>
                  </w:r>
                  <w:r>
                    <w:rPr>
                      <w:rFonts w:hint="eastAsia" w:asciiTheme="minorEastAsia" w:hAnsiTheme="minorEastAsia" w:eastAsiaTheme="minorEastAsia"/>
                      <w:b w:val="0"/>
                      <w:bCs/>
                      <w:color w:val="auto"/>
                      <w:szCs w:val="21"/>
                      <w:highlight w:val="none"/>
                    </w:rPr>
                    <w:t>。</w:t>
                  </w:r>
                </w:p>
              </w:tc>
            </w:tr>
            <w:tr w14:paraId="457FAF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trPr>
              <w:tc>
                <w:tcPr>
                  <w:tcW w:w="705" w:type="pct"/>
                  <w:vAlign w:val="center"/>
                </w:tcPr>
                <w:p w14:paraId="00B53CF6">
                  <w:pPr>
                    <w:jc w:val="center"/>
                    <w:rPr>
                      <w:rFonts w:asciiTheme="minorEastAsia" w:hAnsiTheme="minorEastAsia" w:eastAsiaTheme="minorEastAsia"/>
                      <w:b w:val="0"/>
                      <w:bCs w:val="0"/>
                      <w:color w:val="auto"/>
                      <w:szCs w:val="21"/>
                      <w:highlight w:val="none"/>
                    </w:rPr>
                  </w:pPr>
                  <w:r>
                    <w:rPr>
                      <w:rFonts w:hint="eastAsia" w:asciiTheme="minorEastAsia" w:hAnsiTheme="minorEastAsia" w:eastAsiaTheme="minorEastAsia"/>
                      <w:b w:val="0"/>
                      <w:bCs w:val="0"/>
                      <w:color w:val="auto"/>
                      <w:szCs w:val="21"/>
                      <w:highlight w:val="none"/>
                    </w:rPr>
                    <w:t>★5</w:t>
                  </w:r>
                </w:p>
              </w:tc>
              <w:tc>
                <w:tcPr>
                  <w:tcW w:w="917" w:type="pct"/>
                  <w:vAlign w:val="center"/>
                </w:tcPr>
                <w:p w14:paraId="5806F3E7">
                  <w:pPr>
                    <w:jc w:val="center"/>
                    <w:rPr>
                      <w:rFonts w:asciiTheme="minorEastAsia" w:hAnsiTheme="minorEastAsia" w:eastAsiaTheme="minorEastAsia"/>
                      <w:b w:val="0"/>
                      <w:bCs w:val="0"/>
                      <w:color w:val="auto"/>
                      <w:szCs w:val="21"/>
                      <w:highlight w:val="none"/>
                    </w:rPr>
                  </w:pPr>
                  <w:r>
                    <w:rPr>
                      <w:rFonts w:hint="eastAsia" w:asciiTheme="minorEastAsia" w:hAnsiTheme="minorEastAsia" w:eastAsiaTheme="minorEastAsia"/>
                      <w:b w:val="0"/>
                      <w:bCs w:val="0"/>
                      <w:color w:val="auto"/>
                      <w:szCs w:val="21"/>
                      <w:highlight w:val="none"/>
                    </w:rPr>
                    <w:t>项目（产品）要求</w:t>
                  </w:r>
                </w:p>
              </w:tc>
              <w:tc>
                <w:tcPr>
                  <w:tcW w:w="3377" w:type="pct"/>
                </w:tcPr>
                <w:p w14:paraId="4F70408C">
                  <w:pPr>
                    <w:rPr>
                      <w:rFonts w:asciiTheme="minorEastAsia" w:hAnsiTheme="minorEastAsia" w:eastAsiaTheme="minorEastAsia"/>
                      <w:b w:val="0"/>
                      <w:bCs w:val="0"/>
                      <w:color w:val="auto"/>
                      <w:szCs w:val="21"/>
                      <w:highlight w:val="none"/>
                    </w:rPr>
                  </w:pPr>
                  <w:r>
                    <w:rPr>
                      <w:rFonts w:hint="eastAsia" w:cs="宋体" w:asciiTheme="minorEastAsia" w:hAnsiTheme="minorEastAsia" w:eastAsiaTheme="minorEastAsia"/>
                      <w:b w:val="0"/>
                      <w:bCs w:val="0"/>
                      <w:color w:val="auto"/>
                      <w:szCs w:val="21"/>
                      <w:highlight w:val="none"/>
                    </w:rPr>
                    <w:t>★</w:t>
                  </w:r>
                  <w:r>
                    <w:rPr>
                      <w:rFonts w:hint="eastAsia" w:asciiTheme="minorEastAsia" w:hAnsiTheme="minorEastAsia" w:eastAsiaTheme="minorEastAsia"/>
                      <w:b w:val="0"/>
                      <w:bCs w:val="0"/>
                      <w:color w:val="auto"/>
                      <w:szCs w:val="21"/>
                      <w:highlight w:val="none"/>
                    </w:rPr>
                    <w:t>5.1若所投产品为进口，则投标人必须提供由设备制造商或授权的中国总代理签署的合法有效的保修、维修承诺函（免费保修期满足招标文件要求）扫描件，原件备查；若所投产品为国产产品，则无需提供。</w:t>
                  </w:r>
                </w:p>
              </w:tc>
            </w:tr>
            <w:tr w14:paraId="24303F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trPr>
              <w:tc>
                <w:tcPr>
                  <w:tcW w:w="705" w:type="pct"/>
                  <w:vAlign w:val="center"/>
                </w:tcPr>
                <w:p w14:paraId="3A863BDD">
                  <w:pPr>
                    <w:jc w:val="center"/>
                    <w:rPr>
                      <w:rFonts w:hint="eastAsia" w:asciiTheme="minorEastAsia" w:hAnsiTheme="minorEastAsia" w:eastAsiaTheme="minorEastAsia"/>
                      <w:b/>
                      <w:szCs w:val="21"/>
                      <w:highlight w:val="none"/>
                      <w:lang w:val="en-US" w:eastAsia="zh-CN"/>
                    </w:rPr>
                  </w:pPr>
                  <w:r>
                    <w:rPr>
                      <w:rFonts w:hint="eastAsia" w:asciiTheme="minorEastAsia" w:hAnsiTheme="minorEastAsia" w:eastAsiaTheme="minorEastAsia" w:cstheme="minorEastAsia"/>
                      <w:b/>
                      <w:bCs/>
                      <w:color w:val="auto"/>
                      <w:sz w:val="21"/>
                      <w:szCs w:val="21"/>
                      <w:highlight w:val="none"/>
                    </w:rPr>
                    <w:t>★</w:t>
                  </w:r>
                  <w:r>
                    <w:rPr>
                      <w:rFonts w:hint="eastAsia" w:asciiTheme="minorEastAsia" w:hAnsiTheme="minorEastAsia" w:eastAsiaTheme="minorEastAsia" w:cstheme="minorEastAsia"/>
                      <w:b/>
                      <w:bCs/>
                      <w:color w:val="auto"/>
                      <w:sz w:val="21"/>
                      <w:szCs w:val="21"/>
                      <w:highlight w:val="none"/>
                      <w:lang w:val="en-US" w:eastAsia="zh-CN"/>
                    </w:rPr>
                    <w:t>6</w:t>
                  </w:r>
                </w:p>
              </w:tc>
              <w:tc>
                <w:tcPr>
                  <w:tcW w:w="917" w:type="pct"/>
                  <w:vAlign w:val="center"/>
                </w:tcPr>
                <w:p w14:paraId="10E0C634">
                  <w:pPr>
                    <w:numPr>
                      <w:ilvl w:val="0"/>
                      <w:numId w:val="0"/>
                    </w:numPr>
                    <w:tabs>
                      <w:tab w:val="left" w:pos="540"/>
                    </w:tabs>
                    <w:adjustRightInd w:val="0"/>
                    <w:snapToGrid w:val="0"/>
                    <w:spacing w:line="360" w:lineRule="auto"/>
                    <w:ind w:leftChars="0"/>
                    <w:jc w:val="center"/>
                    <w:rPr>
                      <w:rFonts w:asciiTheme="minorEastAsia" w:hAnsiTheme="minorEastAsia" w:eastAsiaTheme="minorEastAsia"/>
                      <w:b/>
                      <w:szCs w:val="21"/>
                      <w:highlight w:val="none"/>
                    </w:rPr>
                  </w:pPr>
                  <w:r>
                    <w:rPr>
                      <w:rFonts w:hint="eastAsia" w:asciiTheme="minorEastAsia" w:hAnsiTheme="minorEastAsia" w:eastAsiaTheme="minorEastAsia" w:cstheme="minorEastAsia"/>
                      <w:b/>
                      <w:bCs/>
                      <w:color w:val="auto"/>
                      <w:sz w:val="21"/>
                      <w:szCs w:val="21"/>
                      <w:highlight w:val="none"/>
                    </w:rPr>
                    <w:t>知识产权合规承诺</w:t>
                  </w:r>
                </w:p>
              </w:tc>
              <w:tc>
                <w:tcPr>
                  <w:tcW w:w="3377" w:type="pct"/>
                </w:tcPr>
                <w:p w14:paraId="54DC6874">
                  <w:pPr>
                    <w:rPr>
                      <w:rFonts w:hint="eastAsia" w:ascii="宋体" w:hAnsi="宋体" w:eastAsia="宋体" w:cs="宋体"/>
                      <w:color w:val="auto"/>
                      <w:kern w:val="0"/>
                      <w:sz w:val="21"/>
                      <w:szCs w:val="21"/>
                      <w:highlight w:val="none"/>
                      <w:lang w:val="en-US"/>
                    </w:rPr>
                  </w:pPr>
                  <w:r>
                    <w:rPr>
                      <w:rFonts w:hint="eastAsia" w:ascii="宋体" w:hAnsi="宋体" w:cs="宋体"/>
                      <w:color w:val="auto"/>
                      <w:kern w:val="0"/>
                      <w:sz w:val="21"/>
                      <w:szCs w:val="21"/>
                      <w:highlight w:val="none"/>
                      <w:lang w:val="en-US" w:eastAsia="zh-CN" w:bidi="ar"/>
                    </w:rPr>
                    <w:t>6.1</w:t>
                  </w:r>
                  <w:r>
                    <w:rPr>
                      <w:rFonts w:hint="eastAsia" w:ascii="宋体" w:hAnsi="宋体" w:cs="宋体"/>
                      <w:bCs/>
                      <w:color w:val="000000"/>
                      <w:szCs w:val="21"/>
                      <w:highlight w:val="none"/>
                    </w:rPr>
                    <w:t>投标人</w:t>
                  </w:r>
                  <w:r>
                    <w:rPr>
                      <w:rFonts w:hint="eastAsia" w:ascii="宋体" w:hAnsi="宋体" w:eastAsia="宋体" w:cs="宋体"/>
                      <w:color w:val="auto"/>
                      <w:kern w:val="0"/>
                      <w:sz w:val="21"/>
                      <w:szCs w:val="21"/>
                      <w:highlight w:val="none"/>
                      <w:lang w:val="en-US" w:eastAsia="zh-CN" w:bidi="ar"/>
                    </w:rPr>
                    <w:t>在履行合同的过程中不得侵犯他人知识产权，不得提供虚假知识产权申请材料或者违背知识产权合规性承诺，否则依法追究其违约等责任，并将其失信违法信息依法纳入公共信用信息系统。</w:t>
                  </w:r>
                </w:p>
                <w:p w14:paraId="3667830B">
                  <w:pPr>
                    <w:rPr>
                      <w:rFonts w:hint="eastAsia" w:ascii="宋体" w:hAnsi="宋体" w:eastAsia="宋体" w:cs="宋体"/>
                      <w:color w:val="auto"/>
                      <w:kern w:val="0"/>
                      <w:sz w:val="21"/>
                      <w:szCs w:val="21"/>
                      <w:highlight w:val="none"/>
                      <w:lang w:val="en-US"/>
                    </w:rPr>
                  </w:pPr>
                  <w:r>
                    <w:rPr>
                      <w:rFonts w:hint="eastAsia" w:ascii="宋体" w:hAnsi="宋体" w:cs="宋体"/>
                      <w:color w:val="auto"/>
                      <w:kern w:val="0"/>
                      <w:sz w:val="21"/>
                      <w:szCs w:val="21"/>
                      <w:highlight w:val="none"/>
                      <w:lang w:val="en-US" w:eastAsia="zh-CN" w:bidi="ar"/>
                    </w:rPr>
                    <w:t>6.2</w:t>
                  </w:r>
                  <w:r>
                    <w:rPr>
                      <w:rFonts w:hint="eastAsia" w:ascii="宋体" w:hAnsi="宋体" w:cs="宋体"/>
                      <w:bCs/>
                      <w:color w:val="000000"/>
                      <w:szCs w:val="21"/>
                      <w:highlight w:val="none"/>
                    </w:rPr>
                    <w:t>投标人</w:t>
                  </w:r>
                  <w:r>
                    <w:rPr>
                      <w:rFonts w:hint="eastAsia" w:ascii="宋体" w:hAnsi="宋体" w:eastAsia="宋体" w:cs="宋体"/>
                      <w:color w:val="auto"/>
                      <w:kern w:val="0"/>
                      <w:sz w:val="21"/>
                      <w:szCs w:val="21"/>
                      <w:highlight w:val="none"/>
                      <w:lang w:val="en-US" w:eastAsia="zh-CN" w:bidi="ar"/>
                    </w:rPr>
                    <w:t>应保证采购人在使用该货物或其任何一部分时免受第三方提出侵犯其专利、商标、版权等知识产权或商品名称及其他权利的起诉及索赔。若采购人因此被第三方起诉或以其它方式追究责任，</w:t>
                  </w:r>
                  <w:r>
                    <w:rPr>
                      <w:rFonts w:hint="eastAsia" w:ascii="宋体" w:hAnsi="宋体" w:cs="宋体"/>
                      <w:bCs/>
                      <w:color w:val="000000"/>
                      <w:szCs w:val="21"/>
                      <w:highlight w:val="none"/>
                    </w:rPr>
                    <w:t>投标人</w:t>
                  </w:r>
                  <w:r>
                    <w:rPr>
                      <w:rFonts w:hint="eastAsia" w:ascii="宋体" w:hAnsi="宋体" w:eastAsia="宋体" w:cs="宋体"/>
                      <w:color w:val="auto"/>
                      <w:kern w:val="0"/>
                      <w:sz w:val="21"/>
                      <w:szCs w:val="21"/>
                      <w:highlight w:val="none"/>
                      <w:lang w:val="en-US" w:eastAsia="zh-CN" w:bidi="ar"/>
                    </w:rPr>
                    <w:t>应赔偿因采购人被第三方索赔所引起的一切损失，包括但不限于采购人所支付的侵权损害赔偿费、律师费、诉讼费、仲裁费、办案差旅费等因应诉、沟通协调所发的一切费用。</w:t>
                  </w:r>
                </w:p>
                <w:p w14:paraId="720A6A57">
                  <w:pPr>
                    <w:numPr>
                      <w:ilvl w:val="0"/>
                      <w:numId w:val="0"/>
                    </w:numPr>
                    <w:tabs>
                      <w:tab w:val="left" w:pos="540"/>
                    </w:tabs>
                    <w:adjustRightInd w:val="0"/>
                    <w:snapToGrid w:val="0"/>
                    <w:spacing w:line="360" w:lineRule="auto"/>
                    <w:ind w:leftChars="0"/>
                    <w:rPr>
                      <w:rFonts w:asciiTheme="minorEastAsia" w:hAnsiTheme="minorEastAsia" w:eastAsiaTheme="minorEastAsia"/>
                      <w:b/>
                      <w:szCs w:val="21"/>
                      <w:highlight w:val="none"/>
                    </w:rPr>
                  </w:pPr>
                  <w:r>
                    <w:rPr>
                      <w:rFonts w:hint="eastAsia" w:ascii="宋体" w:hAnsi="宋体" w:cs="宋体"/>
                      <w:bCs/>
                      <w:color w:val="auto"/>
                      <w:kern w:val="0"/>
                      <w:sz w:val="21"/>
                      <w:szCs w:val="21"/>
                      <w:highlight w:val="none"/>
                      <w:lang w:val="en-US" w:eastAsia="zh-CN" w:bidi="ar"/>
                    </w:rPr>
                    <w:t>6.3</w:t>
                  </w:r>
                  <w:r>
                    <w:rPr>
                      <w:rFonts w:hint="eastAsia" w:ascii="宋体" w:hAnsi="宋体" w:cs="宋体"/>
                      <w:bCs/>
                      <w:color w:val="000000"/>
                      <w:szCs w:val="21"/>
                      <w:highlight w:val="none"/>
                    </w:rPr>
                    <w:t>投标人</w:t>
                  </w:r>
                  <w:r>
                    <w:rPr>
                      <w:rFonts w:hint="eastAsia" w:ascii="宋体" w:hAnsi="宋体" w:eastAsia="宋体" w:cs="宋体"/>
                      <w:bCs/>
                      <w:color w:val="auto"/>
                      <w:kern w:val="0"/>
                      <w:sz w:val="21"/>
                      <w:szCs w:val="21"/>
                      <w:highlight w:val="none"/>
                      <w:lang w:val="en-US" w:eastAsia="zh-CN" w:bidi="ar"/>
                    </w:rPr>
                    <w:t>实施本项目所形成成果的知识产权归采购人所有，未经采购人许可，</w:t>
                  </w:r>
                  <w:r>
                    <w:rPr>
                      <w:rFonts w:hint="eastAsia" w:ascii="宋体" w:hAnsi="宋体" w:cs="宋体"/>
                      <w:bCs/>
                      <w:color w:val="000000"/>
                      <w:szCs w:val="21"/>
                      <w:highlight w:val="none"/>
                    </w:rPr>
                    <w:t>投标人</w:t>
                  </w:r>
                  <w:r>
                    <w:rPr>
                      <w:rFonts w:hint="eastAsia" w:ascii="宋体" w:hAnsi="宋体" w:eastAsia="宋体" w:cs="宋体"/>
                      <w:bCs/>
                      <w:color w:val="auto"/>
                      <w:kern w:val="0"/>
                      <w:sz w:val="21"/>
                      <w:szCs w:val="21"/>
                      <w:highlight w:val="none"/>
                      <w:lang w:val="en-US" w:eastAsia="zh-CN" w:bidi="ar"/>
                    </w:rPr>
                    <w:t>不得随意使用。</w:t>
                  </w:r>
                </w:p>
              </w:tc>
            </w:tr>
            <w:tr w14:paraId="52B5D5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trPr>
              <w:tc>
                <w:tcPr>
                  <w:tcW w:w="705" w:type="pct"/>
                  <w:vAlign w:val="center"/>
                </w:tcPr>
                <w:p w14:paraId="02847475">
                  <w:pPr>
                    <w:jc w:val="center"/>
                    <w:rPr>
                      <w:rFonts w:hint="eastAsia" w:asciiTheme="minorEastAsia" w:hAnsiTheme="minorEastAsia" w:eastAsiaTheme="minorEastAsia"/>
                      <w:b/>
                      <w:szCs w:val="21"/>
                      <w:highlight w:val="none"/>
                      <w:lang w:eastAsia="zh-CN"/>
                    </w:rPr>
                  </w:pPr>
                  <w:r>
                    <w:rPr>
                      <w:rFonts w:hint="eastAsia" w:asciiTheme="minorEastAsia" w:hAnsiTheme="minorEastAsia" w:eastAsiaTheme="minorEastAsia"/>
                      <w:b/>
                      <w:szCs w:val="21"/>
                      <w:highlight w:val="none"/>
                      <w:lang w:val="en-US" w:eastAsia="zh-CN"/>
                    </w:rPr>
                    <w:t>7</w:t>
                  </w:r>
                </w:p>
              </w:tc>
              <w:tc>
                <w:tcPr>
                  <w:tcW w:w="917" w:type="pct"/>
                  <w:vAlign w:val="center"/>
                </w:tcPr>
                <w:p w14:paraId="3548F691">
                  <w:pPr>
                    <w:jc w:val="center"/>
                    <w:rPr>
                      <w:rFonts w:asciiTheme="minorEastAsia" w:hAnsiTheme="minorEastAsia" w:eastAsiaTheme="minorEastAsia"/>
                      <w:b/>
                      <w:szCs w:val="21"/>
                      <w:highlight w:val="none"/>
                    </w:rPr>
                  </w:pPr>
                  <w:r>
                    <w:rPr>
                      <w:rFonts w:hint="eastAsia" w:asciiTheme="minorEastAsia" w:hAnsiTheme="minorEastAsia" w:eastAsiaTheme="minorEastAsia"/>
                      <w:b/>
                      <w:szCs w:val="21"/>
                      <w:highlight w:val="none"/>
                    </w:rPr>
                    <w:t>履约保证金</w:t>
                  </w:r>
                </w:p>
              </w:tc>
              <w:tc>
                <w:tcPr>
                  <w:tcW w:w="3377" w:type="pct"/>
                </w:tcPr>
                <w:p w14:paraId="064395C7">
                  <w:pPr>
                    <w:numPr>
                      <w:ilvl w:val="0"/>
                      <w:numId w:val="1"/>
                    </w:numPr>
                    <w:adjustRightInd w:val="0"/>
                    <w:snapToGrid w:val="0"/>
                    <w:spacing w:line="360" w:lineRule="auto"/>
                    <w:rPr>
                      <w:rFonts w:hint="eastAsia" w:ascii="宋体" w:hAnsi="宋体"/>
                      <w:szCs w:val="21"/>
                      <w:highlight w:val="none"/>
                    </w:rPr>
                  </w:pPr>
                  <w:r>
                    <w:rPr>
                      <w:rFonts w:hint="eastAsia" w:ascii="宋体" w:hAnsi="宋体"/>
                      <w:szCs w:val="21"/>
                      <w:highlight w:val="none"/>
                    </w:rPr>
                    <w:t>提交说明</w:t>
                  </w:r>
                </w:p>
                <w:p w14:paraId="0854C8B3">
                  <w:pPr>
                    <w:numPr>
                      <w:ilvl w:val="0"/>
                      <w:numId w:val="2"/>
                    </w:numPr>
                    <w:tabs>
                      <w:tab w:val="clear" w:pos="840"/>
                    </w:tabs>
                    <w:adjustRightInd w:val="0"/>
                    <w:snapToGrid w:val="0"/>
                    <w:spacing w:line="360" w:lineRule="auto"/>
                    <w:rPr>
                      <w:rFonts w:hint="eastAsia" w:ascii="宋体" w:hAnsi="宋体" w:eastAsia="宋体" w:cs="宋体"/>
                      <w:sz w:val="21"/>
                      <w:szCs w:val="21"/>
                      <w:highlight w:val="none"/>
                    </w:rPr>
                  </w:pPr>
                  <w:r>
                    <w:rPr>
                      <w:rFonts w:hint="eastAsia" w:ascii="宋体" w:hAnsi="宋体" w:eastAsia="宋体" w:cs="宋体"/>
                      <w:sz w:val="21"/>
                      <w:szCs w:val="21"/>
                      <w:highlight w:val="none"/>
                    </w:rPr>
                    <w:t>时间：</w:t>
                  </w:r>
                  <w:r>
                    <w:rPr>
                      <w:rFonts w:hint="eastAsia" w:ascii="宋体" w:hAnsi="宋体" w:eastAsia="宋体" w:cs="宋体"/>
                      <w:sz w:val="21"/>
                      <w:szCs w:val="21"/>
                      <w:highlight w:val="none"/>
                      <w:lang w:eastAsia="zh-CN"/>
                    </w:rPr>
                    <w:t>收到中标通知书后</w:t>
                  </w:r>
                  <w:r>
                    <w:rPr>
                      <w:rFonts w:hint="eastAsia" w:ascii="宋体" w:hAnsi="宋体" w:eastAsia="宋体" w:cs="宋体"/>
                      <w:sz w:val="21"/>
                      <w:szCs w:val="21"/>
                      <w:highlight w:val="none"/>
                      <w:shd w:val="clear" w:fill="FFFF00"/>
                    </w:rPr>
                    <w:t>五个工作日内提交</w:t>
                  </w:r>
                  <w:r>
                    <w:rPr>
                      <w:rFonts w:hint="eastAsia" w:ascii="宋体" w:hAnsi="宋体" w:eastAsia="宋体" w:cs="宋体"/>
                      <w:sz w:val="21"/>
                      <w:szCs w:val="21"/>
                      <w:highlight w:val="none"/>
                    </w:rPr>
                    <w:t>；</w:t>
                  </w:r>
                </w:p>
                <w:p w14:paraId="474104AC">
                  <w:pPr>
                    <w:numPr>
                      <w:ilvl w:val="0"/>
                      <w:numId w:val="2"/>
                    </w:numPr>
                    <w:tabs>
                      <w:tab w:val="clear" w:pos="840"/>
                    </w:tabs>
                    <w:adjustRightInd w:val="0"/>
                    <w:snapToGrid w:val="0"/>
                    <w:spacing w:line="360" w:lineRule="auto"/>
                    <w:rPr>
                      <w:rFonts w:hint="eastAsia" w:ascii="宋体" w:hAnsi="宋体" w:eastAsia="宋体" w:cs="宋体"/>
                      <w:sz w:val="21"/>
                      <w:szCs w:val="21"/>
                      <w:highlight w:val="none"/>
                    </w:rPr>
                  </w:pPr>
                  <w:r>
                    <w:rPr>
                      <w:rFonts w:hint="eastAsia" w:ascii="宋体" w:hAnsi="宋体" w:eastAsia="宋体" w:cs="宋体"/>
                      <w:sz w:val="21"/>
                      <w:szCs w:val="21"/>
                      <w:highlight w:val="none"/>
                    </w:rPr>
                    <w:t>金额：合同（成交）金额的</w:t>
                  </w:r>
                  <w:r>
                    <w:rPr>
                      <w:rFonts w:hint="eastAsia" w:ascii="宋体" w:hAnsi="宋体" w:eastAsia="宋体" w:cs="宋体"/>
                      <w:sz w:val="21"/>
                      <w:szCs w:val="21"/>
                      <w:highlight w:val="none"/>
                      <w:u w:val="single"/>
                      <w:lang w:val="en-US" w:eastAsia="zh-CN"/>
                    </w:rPr>
                    <w:t xml:space="preserve">   5   </w:t>
                  </w:r>
                  <w:r>
                    <w:rPr>
                      <w:rFonts w:hint="eastAsia" w:ascii="宋体" w:hAnsi="宋体" w:eastAsia="宋体" w:cs="宋体"/>
                      <w:sz w:val="21"/>
                      <w:szCs w:val="21"/>
                      <w:highlight w:val="none"/>
                    </w:rPr>
                    <w:t>%；</w:t>
                  </w:r>
                </w:p>
                <w:p w14:paraId="5839AA3B">
                  <w:pPr>
                    <w:numPr>
                      <w:ilvl w:val="0"/>
                      <w:numId w:val="2"/>
                    </w:numPr>
                    <w:tabs>
                      <w:tab w:val="clear" w:pos="840"/>
                    </w:tabs>
                    <w:adjustRightInd w:val="0"/>
                    <w:snapToGrid w:val="0"/>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方式：中标人自主选择；</w:t>
                  </w:r>
                </w:p>
                <w:p w14:paraId="14D87AA5">
                  <w:pPr>
                    <w:numPr>
                      <w:ilvl w:val="0"/>
                      <w:numId w:val="1"/>
                    </w:numPr>
                    <w:adjustRightInd w:val="0"/>
                    <w:snapToGrid w:val="0"/>
                    <w:spacing w:line="360" w:lineRule="auto"/>
                    <w:rPr>
                      <w:rFonts w:hint="eastAsia" w:ascii="宋体" w:hAnsi="宋体" w:eastAsia="宋体" w:cs="宋体"/>
                      <w:sz w:val="21"/>
                      <w:szCs w:val="21"/>
                      <w:highlight w:val="none"/>
                    </w:rPr>
                  </w:pPr>
                  <w:r>
                    <w:rPr>
                      <w:rFonts w:hint="eastAsia" w:ascii="宋体" w:hAnsi="宋体" w:eastAsia="宋体" w:cs="宋体"/>
                      <w:sz w:val="21"/>
                      <w:szCs w:val="21"/>
                      <w:highlight w:val="none"/>
                    </w:rPr>
                    <w:t>退还说明：</w:t>
                  </w:r>
                </w:p>
                <w:p w14:paraId="6A3E1E43">
                  <w:pPr>
                    <w:numPr>
                      <w:ilvl w:val="0"/>
                      <w:numId w:val="3"/>
                    </w:numPr>
                    <w:tabs>
                      <w:tab w:val="clear" w:pos="840"/>
                    </w:tabs>
                    <w:snapToGrid w:val="0"/>
                    <w:spacing w:line="360" w:lineRule="auto"/>
                    <w:ind w:left="674" w:hanging="284"/>
                    <w:rPr>
                      <w:rFonts w:hint="eastAsia" w:ascii="宋体" w:hAnsi="宋体"/>
                      <w:szCs w:val="21"/>
                      <w:highlight w:val="none"/>
                    </w:rPr>
                  </w:pPr>
                  <w:r>
                    <w:rPr>
                      <w:rFonts w:hint="eastAsia" w:ascii="宋体" w:hAnsi="宋体"/>
                      <w:szCs w:val="21"/>
                      <w:highlight w:val="none"/>
                    </w:rPr>
                    <w:t>时间、方式和条件：</w:t>
                  </w:r>
                  <w:r>
                    <w:rPr>
                      <w:rFonts w:hint="eastAsia" w:ascii="宋体" w:hAnsi="宋体" w:cs="宋体"/>
                      <w:bCs/>
                      <w:color w:val="000000"/>
                      <w:szCs w:val="21"/>
                      <w:highlight w:val="none"/>
                      <w:lang w:eastAsia="zh-CN"/>
                    </w:rPr>
                    <w:t>中标</w:t>
                  </w:r>
                  <w:r>
                    <w:rPr>
                      <w:rFonts w:hint="eastAsia" w:ascii="宋体" w:hAnsi="宋体" w:cs="宋体"/>
                      <w:bCs/>
                      <w:color w:val="000000"/>
                      <w:szCs w:val="21"/>
                      <w:highlight w:val="none"/>
                    </w:rPr>
                    <w:t>人</w:t>
                  </w:r>
                  <w:r>
                    <w:rPr>
                      <w:rFonts w:hint="eastAsia"/>
                      <w:highlight w:val="none"/>
                      <w:lang w:eastAsia="zh-CN"/>
                    </w:rPr>
                    <w:t>供货完成调试、验收、培训且提供了厂家（或厂家授权）的售后服务承诺书后</w:t>
                  </w:r>
                  <w:r>
                    <w:rPr>
                      <w:rFonts w:hint="eastAsia"/>
                      <w:color w:val="auto"/>
                      <w:szCs w:val="21"/>
                      <w:highlight w:val="none"/>
                    </w:rPr>
                    <w:t>向甲方申请退回该履约保证金，甲方收到申请审核同意后，无息返还乙方的履约保证金。因乙方原因而未能达到本项目验收标准或验收不通过的，履约保证金不予退还。</w:t>
                  </w:r>
                </w:p>
                <w:p w14:paraId="0FDA7165">
                  <w:pPr>
                    <w:numPr>
                      <w:ilvl w:val="0"/>
                      <w:numId w:val="3"/>
                    </w:numPr>
                    <w:tabs>
                      <w:tab w:val="clear" w:pos="840"/>
                    </w:tabs>
                    <w:snapToGrid w:val="0"/>
                    <w:spacing w:line="360" w:lineRule="auto"/>
                    <w:ind w:left="674" w:hanging="284"/>
                    <w:rPr>
                      <w:rFonts w:hint="eastAsia" w:ascii="宋体" w:hAnsi="宋体"/>
                      <w:szCs w:val="21"/>
                      <w:highlight w:val="none"/>
                    </w:rPr>
                  </w:pPr>
                  <w:r>
                    <w:rPr>
                      <w:rFonts w:hint="eastAsia" w:ascii="宋体" w:hAnsi="宋体"/>
                      <w:szCs w:val="21"/>
                      <w:highlight w:val="none"/>
                    </w:rPr>
                    <w:t>违约责任：</w:t>
                  </w:r>
                  <w:r>
                    <w:rPr>
                      <w:rFonts w:hint="eastAsia" w:ascii="宋体" w:hAnsi="宋体" w:eastAsia="宋体" w:cs="宋体"/>
                      <w:sz w:val="21"/>
                      <w:szCs w:val="21"/>
                      <w:highlight w:val="none"/>
                    </w:rPr>
                    <w:t>采购人逾期退还履约保证金的，除应当退还履约保证</w:t>
                  </w:r>
                  <w:r>
                    <w:rPr>
                      <w:rFonts w:hint="eastAsia" w:ascii="宋体" w:hAnsi="宋体"/>
                      <w:szCs w:val="21"/>
                      <w:highlight w:val="none"/>
                    </w:rPr>
                    <w:t>金本金外，还应当每日按合同总价的</w:t>
                  </w:r>
                  <w:r>
                    <w:rPr>
                      <w:rFonts w:hint="eastAsia" w:ascii="宋体" w:hAnsi="宋体"/>
                      <w:szCs w:val="21"/>
                      <w:highlight w:val="none"/>
                      <w:lang w:val="en-US" w:eastAsia="zh-CN"/>
                    </w:rPr>
                    <w:t>1</w:t>
                  </w:r>
                  <w:r>
                    <w:rPr>
                      <w:rFonts w:hint="eastAsia" w:ascii="宋体" w:hAnsi="宋体"/>
                      <w:szCs w:val="21"/>
                      <w:highlight w:val="none"/>
                    </w:rPr>
                    <w:t>‰向中标人偿付违约金，但因</w:t>
                  </w:r>
                  <w:r>
                    <w:rPr>
                      <w:rFonts w:hint="eastAsia" w:ascii="宋体" w:hAnsi="宋体" w:cs="宋体"/>
                      <w:bCs/>
                      <w:color w:val="000000"/>
                      <w:szCs w:val="21"/>
                      <w:highlight w:val="none"/>
                    </w:rPr>
                    <w:t>投标人</w:t>
                  </w:r>
                  <w:r>
                    <w:rPr>
                      <w:rFonts w:hint="eastAsia" w:ascii="宋体" w:hAnsi="宋体"/>
                      <w:szCs w:val="21"/>
                      <w:highlight w:val="none"/>
                    </w:rPr>
                    <w:t>自身原因导致无法及时退还的除外。</w:t>
                  </w:r>
                </w:p>
                <w:p w14:paraId="7017BD05">
                  <w:pPr>
                    <w:numPr>
                      <w:ilvl w:val="0"/>
                      <w:numId w:val="3"/>
                    </w:numPr>
                    <w:tabs>
                      <w:tab w:val="clear" w:pos="840"/>
                    </w:tabs>
                    <w:snapToGrid w:val="0"/>
                    <w:spacing w:line="360" w:lineRule="auto"/>
                    <w:ind w:left="674" w:hanging="284"/>
                    <w:rPr>
                      <w:rFonts w:asciiTheme="minorEastAsia" w:hAnsiTheme="minorEastAsia" w:eastAsiaTheme="minorEastAsia"/>
                      <w:b/>
                      <w:szCs w:val="21"/>
                      <w:highlight w:val="none"/>
                    </w:rPr>
                  </w:pPr>
                  <w:r>
                    <w:rPr>
                      <w:rFonts w:hint="eastAsia" w:ascii="宋体" w:hAnsi="宋体"/>
                      <w:szCs w:val="21"/>
                      <w:highlight w:val="none"/>
                    </w:rPr>
                    <w:t>中标人违反合同及其附件约定的任何义务，采购人有权在履约保证金中直接扣除</w:t>
                  </w:r>
                  <w:r>
                    <w:rPr>
                      <w:rFonts w:hint="eastAsia" w:ascii="宋体" w:hAnsi="宋体" w:cs="宋体"/>
                      <w:bCs/>
                      <w:szCs w:val="21"/>
                      <w:highlight w:val="none"/>
                    </w:rPr>
                    <w:t>投标人</w:t>
                  </w:r>
                  <w:r>
                    <w:rPr>
                      <w:rFonts w:hint="eastAsia" w:ascii="宋体" w:hAnsi="宋体"/>
                      <w:szCs w:val="21"/>
                      <w:highlight w:val="none"/>
                    </w:rPr>
                    <w:t>应向采购人支付的违约金或损失赔偿额，如有不足的，中标人应对超过的部分予以赔偿。</w:t>
                  </w:r>
                </w:p>
              </w:tc>
            </w:tr>
            <w:tr w14:paraId="260A6A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trPr>
              <w:tc>
                <w:tcPr>
                  <w:tcW w:w="705" w:type="pct"/>
                  <w:vAlign w:val="center"/>
                </w:tcPr>
                <w:p w14:paraId="4B82175E">
                  <w:pPr>
                    <w:jc w:val="center"/>
                    <w:rPr>
                      <w:rFonts w:hint="eastAsia" w:cs="Times New Roman" w:asciiTheme="minorEastAsia" w:hAnsiTheme="minorEastAsia" w:eastAsiaTheme="minorEastAsia"/>
                      <w:b/>
                      <w:kern w:val="2"/>
                      <w:sz w:val="21"/>
                      <w:szCs w:val="21"/>
                      <w:highlight w:val="none"/>
                      <w:lang w:val="en-US" w:eastAsia="zh-CN" w:bidi="ar-SA"/>
                    </w:rPr>
                  </w:pPr>
                  <w:r>
                    <w:rPr>
                      <w:rFonts w:hint="eastAsia" w:asciiTheme="minorEastAsia" w:hAnsiTheme="minorEastAsia" w:eastAsiaTheme="minorEastAsia"/>
                      <w:b/>
                      <w:szCs w:val="21"/>
                      <w:highlight w:val="none"/>
                      <w:lang w:val="en-US" w:eastAsia="zh-CN"/>
                    </w:rPr>
                    <w:t>8</w:t>
                  </w:r>
                </w:p>
              </w:tc>
              <w:tc>
                <w:tcPr>
                  <w:tcW w:w="917" w:type="pct"/>
                  <w:vAlign w:val="top"/>
                </w:tcPr>
                <w:p w14:paraId="2342E101">
                  <w:pPr>
                    <w:rPr>
                      <w:rFonts w:cs="Times New Roman" w:asciiTheme="minorEastAsia" w:hAnsiTheme="minorEastAsia" w:eastAsiaTheme="minorEastAsia"/>
                      <w:b/>
                      <w:kern w:val="2"/>
                      <w:sz w:val="21"/>
                      <w:szCs w:val="21"/>
                      <w:highlight w:val="none"/>
                      <w:lang w:val="en-US" w:eastAsia="zh-CN" w:bidi="ar-SA"/>
                    </w:rPr>
                  </w:pPr>
                </w:p>
              </w:tc>
              <w:tc>
                <w:tcPr>
                  <w:tcW w:w="3377" w:type="pct"/>
                  <w:vAlign w:val="center"/>
                </w:tcPr>
                <w:p w14:paraId="472AEF5F">
                  <w:pPr>
                    <w:spacing w:line="360" w:lineRule="auto"/>
                    <w:rPr>
                      <w:rFonts w:hint="eastAsia" w:ascii="宋体" w:hAnsi="宋体" w:eastAsia="宋体" w:cs="宋体"/>
                      <w:bCs/>
                      <w:color w:val="000000"/>
                      <w:kern w:val="2"/>
                      <w:sz w:val="21"/>
                      <w:szCs w:val="21"/>
                      <w:highlight w:val="none"/>
                      <w:lang w:val="en-US" w:eastAsia="zh-CN" w:bidi="ar-SA"/>
                    </w:rPr>
                  </w:pPr>
                  <w:r>
                    <w:rPr>
                      <w:rFonts w:hint="eastAsia" w:cs="宋体" w:asciiTheme="minorEastAsia" w:hAnsiTheme="minorEastAsia" w:eastAsiaTheme="minorEastAsia"/>
                      <w:b w:val="0"/>
                      <w:bCs/>
                      <w:color w:val="auto"/>
                      <w:szCs w:val="21"/>
                      <w:highlight w:val="none"/>
                    </w:rPr>
                    <w:t>★</w:t>
                  </w:r>
                  <w:r>
                    <w:rPr>
                      <w:rFonts w:hint="eastAsia" w:ascii="宋体" w:hAnsi="宋体" w:cs="宋体"/>
                      <w:b w:val="0"/>
                      <w:bCs/>
                      <w:color w:val="auto"/>
                      <w:szCs w:val="21"/>
                      <w:highlight w:val="none"/>
                    </w:rPr>
                    <w:t>8.1投标人所投产品具备相关主管部门要求的认证资料：所投产品为第一类医疗器械的，提供监督管理部门签发的有效的《医疗器械备案凭证》扫描件，原件备查；所投产品为第二、三类医疗器械的，提供监督管理部门签发的涵盖所投产品的《医疗器械注册证》(有效期内)扫描件，原件备查。</w:t>
                  </w:r>
                </w:p>
              </w:tc>
            </w:tr>
          </w:tbl>
          <w:p w14:paraId="037369A5">
            <w:pPr>
              <w:spacing w:before="120" w:after="120" w:line="360" w:lineRule="auto"/>
              <w:outlineLvl w:val="2"/>
              <w:rPr>
                <w:rFonts w:cs="宋体" w:asciiTheme="minorEastAsia" w:hAnsiTheme="minorEastAsia" w:eastAsiaTheme="minorEastAsia"/>
                <w:color w:val="000000" w:themeColor="text1"/>
                <w:szCs w:val="21"/>
                <w:highlight w:val="none"/>
                <w14:textFill>
                  <w14:solidFill>
                    <w14:schemeClr w14:val="tx1"/>
                  </w14:solidFill>
                </w14:textFill>
              </w:rPr>
            </w:pPr>
          </w:p>
        </w:tc>
      </w:tr>
    </w:tbl>
    <w:p w14:paraId="62682C07">
      <w:pPr>
        <w:pStyle w:val="12"/>
        <w:rPr>
          <w:rFonts w:hint="eastAsia"/>
        </w:rPr>
      </w:pPr>
    </w:p>
    <w:p w14:paraId="73632D3D">
      <w:pPr>
        <w:rPr>
          <w:rFonts w:hint="eastAsia" w:ascii="宋体" w:hAnsi="宋体"/>
          <w:b/>
          <w:color w:val="FF0000"/>
          <w:sz w:val="32"/>
          <w:szCs w:val="32"/>
        </w:rPr>
      </w:pPr>
      <w:r>
        <w:rPr>
          <w:rFonts w:hint="eastAsia" w:ascii="宋体" w:hAnsi="宋体"/>
          <w:b/>
          <w:color w:val="FF0000"/>
          <w:sz w:val="32"/>
          <w:szCs w:val="32"/>
        </w:rPr>
        <w:br w:type="page"/>
      </w:r>
    </w:p>
    <w:p w14:paraId="2AC4CEFE">
      <w:pPr>
        <w:tabs>
          <w:tab w:val="left" w:pos="2815"/>
        </w:tabs>
        <w:jc w:val="left"/>
        <w:rPr>
          <w:rFonts w:ascii="宋体" w:hAnsi="宋体"/>
          <w:b/>
          <w:bCs/>
          <w:color w:val="FF0000"/>
          <w:sz w:val="28"/>
          <w:szCs w:val="32"/>
        </w:rPr>
      </w:pPr>
      <w:r>
        <w:rPr>
          <w:rFonts w:hint="eastAsia" w:ascii="宋体" w:hAnsi="宋体"/>
          <w:b/>
          <w:bCs/>
          <w:color w:val="FF0000"/>
          <w:sz w:val="28"/>
          <w:szCs w:val="32"/>
        </w:rPr>
        <w:t>综合评分法</w:t>
      </w:r>
      <w:r>
        <w:rPr>
          <w:rFonts w:ascii="宋体" w:hAnsi="宋体"/>
          <w:b/>
          <w:bCs/>
          <w:color w:val="FF0000"/>
          <w:sz w:val="28"/>
          <w:szCs w:val="32"/>
        </w:rPr>
        <w:t>评标信息</w:t>
      </w:r>
    </w:p>
    <w:tbl>
      <w:tblPr>
        <w:tblStyle w:val="16"/>
        <w:tblW w:w="9281" w:type="dxa"/>
        <w:jc w:val="center"/>
        <w:tblCellSpacing w:w="0" w:type="dxa"/>
        <w:tblLayout w:type="autofit"/>
        <w:tblCellMar>
          <w:top w:w="45" w:type="dxa"/>
          <w:left w:w="45" w:type="dxa"/>
          <w:bottom w:w="45" w:type="dxa"/>
          <w:right w:w="45" w:type="dxa"/>
        </w:tblCellMar>
      </w:tblPr>
      <w:tblGrid>
        <w:gridCol w:w="9281"/>
      </w:tblGrid>
      <w:tr w14:paraId="4927AE9A">
        <w:trPr>
          <w:tblCellSpacing w:w="0" w:type="dxa"/>
          <w:jc w:val="center"/>
        </w:trPr>
        <w:tc>
          <w:tcPr>
            <w:tcW w:w="0" w:type="auto"/>
            <w:tcBorders>
              <w:top w:val="nil"/>
              <w:left w:val="nil"/>
              <w:bottom w:val="nil"/>
              <w:right w:val="nil"/>
            </w:tcBorders>
            <w:vAlign w:val="center"/>
          </w:tcPr>
          <w:p w14:paraId="112E2B75">
            <w:pPr>
              <w:rPr>
                <w:b/>
                <w:bCs/>
                <w:color w:val="FF0000"/>
              </w:rPr>
            </w:pPr>
            <w:r>
              <w:rPr>
                <w:rFonts w:hint="eastAsia"/>
                <w:b/>
                <w:bCs/>
                <w:color w:val="FF0000"/>
              </w:rPr>
              <w:t xml:space="preserve">    </w:t>
            </w:r>
          </w:p>
          <w:p w14:paraId="51F483F9">
            <w:pPr>
              <w:ind w:firstLine="422" w:firstLineChars="200"/>
              <w:rPr>
                <w:b/>
                <w:bCs/>
                <w:color w:val="FF0000"/>
              </w:rPr>
            </w:pPr>
            <w:r>
              <w:rPr>
                <w:rFonts w:hint="eastAsia"/>
                <w:b/>
                <w:bCs/>
                <w:color w:val="FF0000"/>
              </w:rPr>
              <w:t>一、</w:t>
            </w:r>
            <w:r>
              <w:rPr>
                <w:b/>
                <w:bCs/>
                <w:color w:val="FF0000"/>
              </w:rPr>
              <w:t>评标方法：综合评分法（新价格分算法）</w:t>
            </w:r>
          </w:p>
        </w:tc>
      </w:tr>
      <w:tr w14:paraId="51C3C949">
        <w:tblPrEx>
          <w:tblCellMar>
            <w:top w:w="45" w:type="dxa"/>
            <w:left w:w="45" w:type="dxa"/>
            <w:bottom w:w="45" w:type="dxa"/>
            <w:right w:w="45" w:type="dxa"/>
          </w:tblCellMar>
        </w:tblPrEx>
        <w:trPr>
          <w:trHeight w:val="90" w:hRule="atLeast"/>
          <w:tblCellSpacing w:w="0" w:type="dxa"/>
          <w:jc w:val="center"/>
        </w:trPr>
        <w:tc>
          <w:tcPr>
            <w:tcW w:w="0" w:type="auto"/>
            <w:tcBorders>
              <w:top w:val="nil"/>
              <w:left w:val="nil"/>
              <w:bottom w:val="nil"/>
              <w:right w:val="nil"/>
            </w:tcBorders>
            <w:vAlign w:val="center"/>
          </w:tcPr>
          <w:p w14:paraId="4197D2FB">
            <w:pPr>
              <w:ind w:firstLine="411" w:firstLineChars="196"/>
              <w:rPr>
                <w:rFonts w:ascii="ˎ̥" w:hAnsi="ˎ̥"/>
              </w:rPr>
            </w:pPr>
            <w:r>
              <w:rPr>
                <w:rFonts w:hint="eastAsia"/>
              </w:rPr>
              <w:t xml:space="preserve">   </w:t>
            </w:r>
            <w:r>
              <w:rPr>
                <w:rFonts w:hint="eastAsia" w:ascii="ˎ̥" w:hAnsi="ˎ̥"/>
              </w:rPr>
              <w:t>综合评分法，是指投标文件满足招标文件全部实质性要求，且按照评审因素的量化指标评审得分最高的投标人为中标候选人的评标方法</w:t>
            </w:r>
            <w:r>
              <w:rPr>
                <w:rFonts w:hint="eastAsia"/>
              </w:rPr>
              <w:t>（排名第二的投标人为第一递补中标候选人、排名第三的投标人为第二递补中标候选人）</w:t>
            </w:r>
            <w:r>
              <w:rPr>
                <w:rFonts w:hint="eastAsia" w:ascii="ˎ̥" w:hAnsi="ˎ̥"/>
              </w:rPr>
              <w:t>。</w:t>
            </w:r>
            <w:r>
              <w:t xml:space="preserve"> </w:t>
            </w:r>
          </w:p>
          <w:p w14:paraId="4880FA86">
            <w:r>
              <w:rPr>
                <w:rFonts w:hint="eastAsia"/>
              </w:rPr>
              <w:t xml:space="preserve">    </w:t>
            </w:r>
            <w:r>
              <w:t>价格分计算方法：</w:t>
            </w:r>
          </w:p>
          <w:p w14:paraId="7A5D3711">
            <w:pPr>
              <w:rPr>
                <w:b/>
                <w:bCs/>
                <w:color w:val="FF0000"/>
              </w:rPr>
            </w:pPr>
            <w:r>
              <w:rPr>
                <w:rFonts w:hint="eastAsia"/>
              </w:rPr>
              <w:t xml:space="preserve">    </w:t>
            </w:r>
            <w:r>
              <w:t xml:space="preserve">采用低价优先法计算，即满足招标文件要求且投标价格最低的投标报价为评标基准价，其价格分为满分。其他投标人的价格分统一按照下列公式计算： </w:t>
            </w:r>
            <w:r>
              <w:br w:type="textWrapping"/>
            </w:r>
            <w:r>
              <w:rPr>
                <w:rFonts w:hint="eastAsia"/>
              </w:rPr>
              <w:t xml:space="preserve">    </w:t>
            </w:r>
            <w:r>
              <w:t xml:space="preserve">投标报价得分=(评标基准价／投标报价)×100 </w:t>
            </w:r>
            <w:r>
              <w:br w:type="textWrapping"/>
            </w:r>
            <w:r>
              <w:rPr>
                <w:rFonts w:hint="eastAsia"/>
              </w:rPr>
              <w:t xml:space="preserve">    </w:t>
            </w:r>
            <w:r>
              <w:t xml:space="preserve">评标总得分＝F1×A1＋F2×A2＋……＋Fn×An </w:t>
            </w:r>
            <w:r>
              <w:br w:type="textWrapping"/>
            </w:r>
            <w:r>
              <w:rPr>
                <w:rFonts w:hint="eastAsia"/>
              </w:rPr>
              <w:t xml:space="preserve">    </w:t>
            </w:r>
            <w:r>
              <w:t xml:space="preserve">F1、F2……Fn分别为各项评审因素的得分； </w:t>
            </w:r>
            <w:r>
              <w:br w:type="textWrapping"/>
            </w:r>
            <w:r>
              <w:rPr>
                <w:rFonts w:hint="eastAsia"/>
              </w:rPr>
              <w:t xml:space="preserve">    </w:t>
            </w:r>
            <w:r>
              <w:t xml:space="preserve">A1、A2、……An 分别为各项评审因素所占的权重(A1＋A2＋……＋An＝1)。 </w:t>
            </w:r>
            <w:r>
              <w:br w:type="textWrapping"/>
            </w:r>
            <w:r>
              <w:rPr>
                <w:rFonts w:hint="eastAsia"/>
              </w:rPr>
              <w:t xml:space="preserve">    </w:t>
            </w:r>
            <w:r>
              <w:t xml:space="preserve">评标过程中，不得去掉报价中的最高报价和最低报价。 </w:t>
            </w:r>
            <w:r>
              <w:br w:type="textWrapping"/>
            </w:r>
            <w:r>
              <w:rPr>
                <w:rFonts w:hint="eastAsia"/>
              </w:rPr>
              <w:t xml:space="preserve">    </w:t>
            </w:r>
            <w:r>
              <w:t xml:space="preserve">此方法适用于货物类、服务类、工程类项目。 </w:t>
            </w:r>
          </w:p>
        </w:tc>
      </w:tr>
    </w:tbl>
    <w:p w14:paraId="5EDA77FD">
      <w:pPr>
        <w:rPr>
          <w:b/>
          <w:bCs/>
          <w:color w:val="FF0000"/>
        </w:rPr>
      </w:pPr>
    </w:p>
    <w:p w14:paraId="2F7BAE9C">
      <w:r>
        <w:rPr>
          <w:rFonts w:hint="eastAsia"/>
          <w:b/>
          <w:bCs/>
          <w:color w:val="FF0000"/>
        </w:rPr>
        <w:t>二、评标信息</w:t>
      </w:r>
    </w:p>
    <w:tbl>
      <w:tblPr>
        <w:tblStyle w:val="16"/>
        <w:tblW w:w="9147" w:type="dxa"/>
        <w:tblInd w:w="93"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680"/>
        <w:gridCol w:w="1202"/>
        <w:gridCol w:w="6345"/>
        <w:gridCol w:w="920"/>
      </w:tblGrid>
      <w:tr w14:paraId="4D53000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883" w:hRule="atLeast"/>
        </w:trPr>
        <w:tc>
          <w:tcPr>
            <w:tcW w:w="680" w:type="dxa"/>
            <w:noWrap w:val="0"/>
            <w:vAlign w:val="center"/>
          </w:tcPr>
          <w:p w14:paraId="63172E98">
            <w:pPr>
              <w:ind w:left="-78" w:leftChars="-37" w:right="-73" w:rightChars="-35"/>
              <w:jc w:val="center"/>
              <w:rPr>
                <w:rFonts w:ascii="宋体" w:hAnsi="宋体" w:cs="宋体"/>
                <w:b/>
                <w:szCs w:val="21"/>
              </w:rPr>
            </w:pPr>
            <w:r>
              <w:rPr>
                <w:rFonts w:hint="eastAsia" w:ascii="宋体" w:hAnsi="宋体" w:cs="宋体"/>
                <w:b/>
                <w:szCs w:val="21"/>
              </w:rPr>
              <w:t>评审部分</w:t>
            </w:r>
          </w:p>
        </w:tc>
        <w:tc>
          <w:tcPr>
            <w:tcW w:w="1202" w:type="dxa"/>
            <w:noWrap w:val="0"/>
            <w:vAlign w:val="center"/>
          </w:tcPr>
          <w:p w14:paraId="7EED362B">
            <w:pPr>
              <w:ind w:left="-78" w:leftChars="-37" w:right="-73" w:rightChars="-35"/>
              <w:jc w:val="center"/>
              <w:rPr>
                <w:rFonts w:ascii="宋体" w:hAnsi="宋体" w:cs="宋体"/>
                <w:b/>
                <w:szCs w:val="21"/>
              </w:rPr>
            </w:pPr>
            <w:r>
              <w:rPr>
                <w:rFonts w:hint="eastAsia" w:ascii="宋体" w:hAnsi="宋体" w:cs="宋体"/>
                <w:b/>
                <w:szCs w:val="21"/>
              </w:rPr>
              <w:t>评审因素</w:t>
            </w:r>
          </w:p>
        </w:tc>
        <w:tc>
          <w:tcPr>
            <w:tcW w:w="6345" w:type="dxa"/>
            <w:noWrap w:val="0"/>
            <w:vAlign w:val="center"/>
          </w:tcPr>
          <w:p w14:paraId="0DD4CE8C">
            <w:pPr>
              <w:ind w:left="-78" w:leftChars="-37" w:right="-73" w:rightChars="-35"/>
              <w:jc w:val="center"/>
              <w:rPr>
                <w:rFonts w:ascii="宋体" w:hAnsi="宋体" w:cs="宋体"/>
                <w:b/>
                <w:szCs w:val="21"/>
              </w:rPr>
            </w:pPr>
            <w:r>
              <w:rPr>
                <w:rFonts w:hint="eastAsia" w:ascii="宋体" w:hAnsi="宋体" w:cs="宋体"/>
                <w:b/>
                <w:szCs w:val="21"/>
              </w:rPr>
              <w:t>评分细则</w:t>
            </w:r>
          </w:p>
        </w:tc>
        <w:tc>
          <w:tcPr>
            <w:tcW w:w="920" w:type="dxa"/>
            <w:noWrap w:val="0"/>
            <w:vAlign w:val="center"/>
          </w:tcPr>
          <w:p w14:paraId="5B93C60A">
            <w:pPr>
              <w:ind w:left="-78" w:leftChars="-37" w:right="-73" w:rightChars="-35"/>
              <w:jc w:val="center"/>
              <w:rPr>
                <w:rFonts w:ascii="宋体" w:hAnsi="宋体" w:cs="宋体"/>
                <w:b/>
                <w:szCs w:val="21"/>
              </w:rPr>
            </w:pPr>
            <w:r>
              <w:rPr>
                <w:rFonts w:hint="eastAsia" w:ascii="宋体" w:hAnsi="宋体" w:cs="宋体"/>
                <w:b/>
                <w:szCs w:val="21"/>
              </w:rPr>
              <w:t>分值（分）</w:t>
            </w:r>
          </w:p>
        </w:tc>
      </w:tr>
      <w:tr w14:paraId="10A7ECC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41" w:hRule="atLeast"/>
        </w:trPr>
        <w:tc>
          <w:tcPr>
            <w:tcW w:w="680" w:type="dxa"/>
            <w:noWrap w:val="0"/>
            <w:vAlign w:val="center"/>
          </w:tcPr>
          <w:p w14:paraId="0EB81E16">
            <w:pPr>
              <w:ind w:left="-78" w:leftChars="-37" w:right="-73" w:rightChars="-35"/>
              <w:jc w:val="center"/>
              <w:rPr>
                <w:rFonts w:ascii="宋体" w:hAnsi="宋体" w:cs="宋体"/>
                <w:b/>
                <w:szCs w:val="21"/>
              </w:rPr>
            </w:pPr>
            <w:r>
              <w:rPr>
                <w:rFonts w:hint="eastAsia" w:ascii="宋体" w:hAnsi="宋体" w:cs="宋体"/>
                <w:b/>
                <w:szCs w:val="21"/>
              </w:rPr>
              <w:t>一</w:t>
            </w:r>
          </w:p>
        </w:tc>
        <w:tc>
          <w:tcPr>
            <w:tcW w:w="8467" w:type="dxa"/>
            <w:gridSpan w:val="3"/>
            <w:noWrap w:val="0"/>
            <w:vAlign w:val="center"/>
          </w:tcPr>
          <w:p w14:paraId="4BCDFE42">
            <w:pPr>
              <w:ind w:left="-78" w:leftChars="-37" w:right="-73" w:rightChars="-35"/>
              <w:jc w:val="center"/>
              <w:rPr>
                <w:rFonts w:ascii="宋体" w:hAnsi="宋体" w:cs="宋体"/>
                <w:b/>
                <w:szCs w:val="21"/>
              </w:rPr>
            </w:pPr>
            <w:r>
              <w:rPr>
                <w:rFonts w:hint="eastAsia" w:ascii="宋体" w:hAnsi="宋体" w:cs="宋体"/>
                <w:b/>
                <w:szCs w:val="21"/>
              </w:rPr>
              <w:t>技术部分（5</w:t>
            </w:r>
            <w:r>
              <w:rPr>
                <w:rFonts w:hint="eastAsia" w:ascii="宋体" w:hAnsi="宋体" w:cs="宋体"/>
                <w:b/>
                <w:szCs w:val="21"/>
                <w:lang w:val="en-US" w:eastAsia="zh-CN"/>
              </w:rPr>
              <w:t>3</w:t>
            </w:r>
            <w:r>
              <w:rPr>
                <w:rFonts w:hint="eastAsia" w:ascii="宋体" w:hAnsi="宋体" w:cs="宋体"/>
                <w:b/>
                <w:szCs w:val="21"/>
              </w:rPr>
              <w:t>分）</w:t>
            </w:r>
          </w:p>
        </w:tc>
      </w:tr>
      <w:tr w14:paraId="45229D5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90" w:hRule="atLeast"/>
        </w:trPr>
        <w:tc>
          <w:tcPr>
            <w:tcW w:w="680" w:type="dxa"/>
            <w:tcBorders>
              <w:bottom w:val="single" w:color="auto" w:sz="4" w:space="0"/>
            </w:tcBorders>
            <w:noWrap w:val="0"/>
            <w:vAlign w:val="center"/>
          </w:tcPr>
          <w:p w14:paraId="1FB662AE">
            <w:pPr>
              <w:pStyle w:val="29"/>
              <w:numPr>
                <w:ilvl w:val="0"/>
                <w:numId w:val="4"/>
              </w:numPr>
              <w:ind w:firstLineChars="0"/>
              <w:jc w:val="right"/>
              <w:rPr>
                <w:rFonts w:ascii="宋体" w:hAnsi="宋体" w:cs="宋体"/>
                <w:szCs w:val="21"/>
              </w:rPr>
            </w:pPr>
          </w:p>
        </w:tc>
        <w:tc>
          <w:tcPr>
            <w:tcW w:w="1202" w:type="dxa"/>
            <w:noWrap w:val="0"/>
            <w:vAlign w:val="center"/>
          </w:tcPr>
          <w:p w14:paraId="4CBDB9AA">
            <w:pPr>
              <w:adjustRightInd w:val="0"/>
              <w:snapToGrid w:val="0"/>
              <w:spacing w:line="240" w:lineRule="atLeast"/>
              <w:jc w:val="center"/>
              <w:rPr>
                <w:rFonts w:ascii="宋体" w:hAnsi="宋体" w:cs="宋体"/>
                <w:szCs w:val="21"/>
              </w:rPr>
            </w:pPr>
            <w:r>
              <w:rPr>
                <w:rFonts w:hint="eastAsia" w:ascii="宋体" w:hAnsi="宋体" w:cs="宋体"/>
                <w:szCs w:val="21"/>
              </w:rPr>
              <w:t>技术规格偏离情况</w:t>
            </w:r>
          </w:p>
        </w:tc>
        <w:tc>
          <w:tcPr>
            <w:tcW w:w="6345" w:type="dxa"/>
            <w:noWrap w:val="0"/>
            <w:vAlign w:val="center"/>
          </w:tcPr>
          <w:p w14:paraId="1F328262">
            <w:pPr>
              <w:pStyle w:val="29"/>
              <w:spacing w:line="360" w:lineRule="exact"/>
              <w:ind w:firstLine="0" w:firstLineChars="0"/>
              <w:rPr>
                <w:rFonts w:ascii="宋体" w:hAnsi="宋体" w:cs="宋体"/>
                <w:szCs w:val="21"/>
              </w:rPr>
            </w:pPr>
            <w:r>
              <w:rPr>
                <w:rFonts w:hint="eastAsia" w:ascii="宋体" w:hAnsi="宋体"/>
                <w:szCs w:val="21"/>
              </w:rPr>
              <w:t>一、评分内容：</w:t>
            </w:r>
          </w:p>
          <w:p w14:paraId="5F04E9CD">
            <w:pPr>
              <w:rPr>
                <w:rFonts w:ascii="宋体" w:hAnsi="宋体" w:cs="宋体"/>
                <w:szCs w:val="21"/>
              </w:rPr>
            </w:pPr>
            <w:r>
              <w:rPr>
                <w:rFonts w:hint="eastAsia" w:ascii="宋体" w:hAnsi="宋体" w:cs="宋体"/>
                <w:szCs w:val="21"/>
              </w:rPr>
              <w:t>投标人应如实填写</w:t>
            </w:r>
            <w:r>
              <w:rPr>
                <w:rFonts w:hint="eastAsia" w:ascii="宋体" w:hAnsi="宋体" w:cs="宋体"/>
                <w:kern w:val="0"/>
                <w:szCs w:val="21"/>
              </w:rPr>
              <w:t>《</w:t>
            </w:r>
            <w:r>
              <w:rPr>
                <w:rFonts w:hint="eastAsia" w:ascii="宋体" w:hAnsi="宋体" w:cs="仿宋"/>
                <w:szCs w:val="21"/>
              </w:rPr>
              <w:t>技术规格偏离表</w:t>
            </w:r>
            <w:r>
              <w:rPr>
                <w:rFonts w:hint="eastAsia" w:ascii="宋体" w:hAnsi="宋体" w:cs="宋体"/>
                <w:kern w:val="0"/>
                <w:szCs w:val="21"/>
              </w:rPr>
              <w:t>》</w:t>
            </w:r>
            <w:r>
              <w:rPr>
                <w:rFonts w:hint="eastAsia" w:ascii="宋体" w:hAnsi="宋体" w:cs="宋体"/>
                <w:szCs w:val="21"/>
              </w:rPr>
              <w:t>，评审委员会根据第三章 用户需求书“二、技术要求”响应情况进行打分，各项技术参数指标及要求全部满足的得满分。</w:t>
            </w:r>
          </w:p>
          <w:p w14:paraId="6ABCE574">
            <w:pPr>
              <w:rPr>
                <w:rFonts w:ascii="宋体" w:hAnsi="宋体" w:cs="宋体"/>
                <w:color w:val="auto"/>
                <w:szCs w:val="21"/>
              </w:rPr>
            </w:pPr>
            <w:r>
              <w:rPr>
                <w:rFonts w:hint="eastAsia" w:ascii="宋体" w:hAnsi="宋体" w:cs="宋体"/>
                <w:color w:val="auto"/>
                <w:szCs w:val="21"/>
              </w:rPr>
              <w:t>带▲参数为重点参数共</w:t>
            </w:r>
            <w:r>
              <w:rPr>
                <w:rFonts w:hint="eastAsia" w:ascii="宋体" w:hAnsi="宋体" w:cs="宋体"/>
                <w:color w:val="auto"/>
                <w:szCs w:val="21"/>
                <w:highlight w:val="yellow"/>
              </w:rPr>
              <w:t>{}</w:t>
            </w:r>
            <w:r>
              <w:rPr>
                <w:rFonts w:hint="eastAsia" w:ascii="宋体" w:hAnsi="宋体" w:cs="宋体"/>
                <w:color w:val="auto"/>
                <w:szCs w:val="21"/>
              </w:rPr>
              <w:t>分，每负偏离一项扣</w:t>
            </w:r>
            <w:r>
              <w:rPr>
                <w:rFonts w:hint="eastAsia" w:ascii="宋体" w:hAnsi="宋体" w:cs="宋体"/>
                <w:color w:val="auto"/>
                <w:szCs w:val="21"/>
                <w:highlight w:val="yellow"/>
              </w:rPr>
              <w:t>{}</w:t>
            </w:r>
            <w:r>
              <w:rPr>
                <w:rFonts w:hint="eastAsia" w:ascii="宋体" w:hAnsi="宋体" w:cs="宋体"/>
                <w:color w:val="auto"/>
                <w:szCs w:val="21"/>
              </w:rPr>
              <w:t>分</w:t>
            </w:r>
          </w:p>
          <w:p w14:paraId="4A852DC2">
            <w:pPr>
              <w:rPr>
                <w:rFonts w:ascii="宋体" w:hAnsi="宋体" w:cs="宋体"/>
                <w:color w:val="auto"/>
                <w:szCs w:val="21"/>
              </w:rPr>
            </w:pPr>
            <w:r>
              <w:rPr>
                <w:rFonts w:hint="eastAsia" w:ascii="宋体" w:hAnsi="宋体" w:cs="宋体"/>
                <w:color w:val="auto"/>
                <w:szCs w:val="21"/>
              </w:rPr>
              <w:t>其他一般参数共</w:t>
            </w:r>
            <w:r>
              <w:rPr>
                <w:rFonts w:hint="eastAsia" w:ascii="宋体" w:hAnsi="宋体" w:cs="宋体"/>
                <w:color w:val="auto"/>
                <w:szCs w:val="21"/>
                <w:highlight w:val="yellow"/>
              </w:rPr>
              <w:t>{}</w:t>
            </w:r>
            <w:r>
              <w:rPr>
                <w:rFonts w:hint="eastAsia" w:ascii="宋体" w:hAnsi="宋体" w:cs="宋体"/>
                <w:color w:val="auto"/>
                <w:szCs w:val="21"/>
              </w:rPr>
              <w:t>分，每偏离一项扣</w:t>
            </w:r>
            <w:r>
              <w:rPr>
                <w:rFonts w:hint="eastAsia" w:ascii="宋体" w:hAnsi="宋体" w:cs="宋体"/>
                <w:color w:val="auto"/>
                <w:szCs w:val="21"/>
                <w:highlight w:val="yellow"/>
              </w:rPr>
              <w:t>{}</w:t>
            </w:r>
            <w:r>
              <w:rPr>
                <w:rFonts w:hint="eastAsia" w:ascii="宋体" w:hAnsi="宋体" w:cs="宋体"/>
                <w:color w:val="auto"/>
                <w:szCs w:val="21"/>
              </w:rPr>
              <w:t>分</w:t>
            </w:r>
          </w:p>
          <w:p w14:paraId="5A6CE455">
            <w:pPr>
              <w:autoSpaceDE w:val="0"/>
              <w:autoSpaceDN w:val="0"/>
              <w:adjustRightInd w:val="0"/>
              <w:spacing w:line="360" w:lineRule="exact"/>
              <w:jc w:val="left"/>
              <w:rPr>
                <w:rFonts w:ascii="宋体" w:hAnsi="宋体"/>
                <w:kern w:val="0"/>
                <w:szCs w:val="21"/>
              </w:rPr>
            </w:pPr>
            <w:r>
              <w:rPr>
                <w:rFonts w:hint="eastAsia" w:ascii="宋体" w:hAnsi="宋体"/>
                <w:kern w:val="0"/>
                <w:szCs w:val="21"/>
              </w:rPr>
              <w:t>二、评分依据：</w:t>
            </w:r>
          </w:p>
          <w:p w14:paraId="50BD080F">
            <w:pPr>
              <w:pStyle w:val="30"/>
              <w:rPr>
                <w:sz w:val="21"/>
                <w:szCs w:val="21"/>
              </w:rPr>
            </w:pPr>
            <w:r>
              <w:rPr>
                <w:rFonts w:hint="eastAsia" w:ascii="宋体" w:hAnsi="宋体"/>
                <w:sz w:val="21"/>
                <w:szCs w:val="21"/>
              </w:rPr>
              <w:t>以投标文件《技术</w:t>
            </w:r>
            <w:r>
              <w:rPr>
                <w:rFonts w:hint="eastAsia" w:ascii="宋体" w:hAnsi="宋体" w:cs="仿宋"/>
                <w:sz w:val="21"/>
                <w:szCs w:val="21"/>
              </w:rPr>
              <w:t>规格</w:t>
            </w:r>
            <w:r>
              <w:rPr>
                <w:rFonts w:hint="eastAsia" w:ascii="宋体" w:hAnsi="宋体"/>
                <w:sz w:val="21"/>
                <w:szCs w:val="21"/>
              </w:rPr>
              <w:t>偏离表》为评分依据，投标人</w:t>
            </w:r>
            <w:r>
              <w:rPr>
                <w:rFonts w:hint="eastAsia" w:ascii="宋体" w:hAnsi="宋体" w:cs="仿宋"/>
                <w:sz w:val="21"/>
                <w:szCs w:val="21"/>
              </w:rPr>
              <w:t>按招标文件要求提供相应的证明材料复印件或扫描件加盖投标人公章（原件备查），并注明证明材料在投标文件中的具体位置。未提供有效证明材料或未注明证明材料在投标文件中的具体位置或提供的证明资料显示不符合招标文件要求、模糊不清无法判断或未显示是否满足招标文件参数的，该项技术指标按负偏离处理。</w:t>
            </w:r>
            <w:r>
              <w:rPr>
                <w:rFonts w:hint="eastAsia" w:ascii="宋体" w:hAnsi="宋体"/>
                <w:sz w:val="21"/>
                <w:szCs w:val="21"/>
              </w:rPr>
              <w:t>对于不同货物的技术要求中的相同项不满足时按一项不满足进行扣分，不对某一项技术要求重复扣分。</w:t>
            </w:r>
          </w:p>
        </w:tc>
        <w:tc>
          <w:tcPr>
            <w:tcW w:w="920" w:type="dxa"/>
            <w:noWrap w:val="0"/>
            <w:vAlign w:val="center"/>
          </w:tcPr>
          <w:p w14:paraId="540E57B4">
            <w:pPr>
              <w:ind w:left="-78" w:leftChars="-37" w:right="-73" w:rightChars="-35"/>
              <w:jc w:val="center"/>
              <w:rPr>
                <w:rFonts w:hint="default" w:ascii="宋体" w:hAnsi="宋体" w:eastAsia="宋体" w:cs="宋体"/>
                <w:szCs w:val="21"/>
                <w:lang w:val="en-US" w:eastAsia="zh-CN"/>
              </w:rPr>
            </w:pPr>
            <w:r>
              <w:rPr>
                <w:rFonts w:hint="eastAsia" w:ascii="宋体" w:hAnsi="宋体" w:cs="宋体"/>
                <w:szCs w:val="21"/>
                <w:highlight w:val="yellow"/>
                <w:lang w:val="en-US" w:eastAsia="zh-CN"/>
              </w:rPr>
              <w:t>45</w:t>
            </w:r>
          </w:p>
        </w:tc>
      </w:tr>
      <w:tr w14:paraId="439F6C6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90" w:hRule="atLeast"/>
        </w:trPr>
        <w:tc>
          <w:tcPr>
            <w:tcW w:w="680" w:type="dxa"/>
            <w:tcBorders>
              <w:bottom w:val="single" w:color="auto" w:sz="4" w:space="0"/>
            </w:tcBorders>
            <w:noWrap w:val="0"/>
            <w:vAlign w:val="center"/>
          </w:tcPr>
          <w:p w14:paraId="67443EEC">
            <w:pPr>
              <w:pStyle w:val="29"/>
              <w:numPr>
                <w:ilvl w:val="0"/>
                <w:numId w:val="4"/>
              </w:numPr>
              <w:ind w:firstLineChars="0"/>
              <w:jc w:val="right"/>
              <w:rPr>
                <w:rFonts w:ascii="宋体" w:hAnsi="宋体" w:cs="宋体"/>
                <w:szCs w:val="21"/>
              </w:rPr>
            </w:pPr>
          </w:p>
        </w:tc>
        <w:tc>
          <w:tcPr>
            <w:tcW w:w="1202" w:type="dxa"/>
            <w:noWrap w:val="0"/>
            <w:vAlign w:val="center"/>
          </w:tcPr>
          <w:p w14:paraId="60937CE1">
            <w:pPr>
              <w:adjustRightInd w:val="0"/>
              <w:snapToGrid w:val="0"/>
              <w:spacing w:line="240" w:lineRule="atLeast"/>
              <w:jc w:val="center"/>
              <w:rPr>
                <w:rFonts w:hint="eastAsia" w:ascii="宋体" w:hAnsi="宋体" w:eastAsia="宋体" w:cs="仿宋"/>
                <w:bCs/>
                <w:spacing w:val="10"/>
                <w:kern w:val="0"/>
                <w:sz w:val="21"/>
                <w:szCs w:val="21"/>
                <w:lang w:val="en-US" w:eastAsia="zh-CN" w:bidi="ar-SA"/>
              </w:rPr>
            </w:pPr>
            <w:r>
              <w:rPr>
                <w:rFonts w:hint="eastAsia" w:ascii="宋体" w:hAnsi="宋体" w:eastAsia="宋体" w:cs="仿宋"/>
                <w:bCs/>
                <w:spacing w:val="10"/>
                <w:kern w:val="0"/>
                <w:sz w:val="21"/>
                <w:szCs w:val="21"/>
                <w:lang w:val="en-US" w:eastAsia="zh-CN" w:bidi="ar-SA"/>
              </w:rPr>
              <w:t>设备设计使用年限</w:t>
            </w:r>
          </w:p>
        </w:tc>
        <w:tc>
          <w:tcPr>
            <w:tcW w:w="6345" w:type="dxa"/>
            <w:noWrap w:val="0"/>
            <w:vAlign w:val="center"/>
          </w:tcPr>
          <w:p w14:paraId="02E43AF4">
            <w:pPr>
              <w:pStyle w:val="29"/>
              <w:spacing w:line="360" w:lineRule="exact"/>
              <w:ind w:firstLine="0" w:firstLineChars="0"/>
              <w:rPr>
                <w:rFonts w:hint="eastAsia" w:ascii="宋体" w:hAnsi="宋体" w:eastAsia="宋体" w:cs="仿宋"/>
                <w:bCs/>
                <w:spacing w:val="10"/>
                <w:kern w:val="0"/>
                <w:sz w:val="21"/>
                <w:szCs w:val="21"/>
                <w:lang w:val="en-US" w:eastAsia="zh-CN" w:bidi="ar-SA"/>
              </w:rPr>
            </w:pPr>
            <w:r>
              <w:rPr>
                <w:rFonts w:hint="eastAsia" w:ascii="宋体" w:hAnsi="宋体" w:eastAsia="宋体" w:cs="仿宋"/>
                <w:bCs/>
                <w:spacing w:val="10"/>
                <w:kern w:val="0"/>
                <w:sz w:val="21"/>
                <w:szCs w:val="21"/>
                <w:lang w:val="en-US" w:eastAsia="zh-CN" w:bidi="ar-SA"/>
              </w:rPr>
              <w:t>一、评分内容：</w:t>
            </w:r>
          </w:p>
          <w:p w14:paraId="692BFC8C">
            <w:pPr>
              <w:pStyle w:val="30"/>
              <w:rPr>
                <w:rFonts w:hint="default" w:ascii="宋体" w:hAnsi="宋体" w:eastAsia="宋体" w:cs="仿宋"/>
                <w:bCs/>
                <w:spacing w:val="10"/>
                <w:kern w:val="0"/>
                <w:sz w:val="21"/>
                <w:szCs w:val="21"/>
                <w:lang w:val="en-US" w:eastAsia="zh-CN" w:bidi="ar-SA"/>
              </w:rPr>
            </w:pPr>
            <w:r>
              <w:rPr>
                <w:rFonts w:hint="eastAsia" w:ascii="宋体" w:hAnsi="宋体" w:eastAsia="宋体" w:cs="仿宋"/>
                <w:bCs/>
                <w:spacing w:val="10"/>
                <w:kern w:val="0"/>
                <w:sz w:val="21"/>
                <w:szCs w:val="21"/>
                <w:lang w:val="en-US" w:eastAsia="zh-CN" w:bidi="ar-SA"/>
              </w:rPr>
              <w:t>投标人提供的仪器设备的设计使用年限≥6年。</w:t>
            </w:r>
            <w:r>
              <w:rPr>
                <w:rFonts w:hint="eastAsia" w:ascii="宋体" w:hAnsi="宋体" w:cs="仿宋"/>
                <w:bCs/>
                <w:spacing w:val="10"/>
                <w:kern w:val="0"/>
                <w:sz w:val="21"/>
                <w:szCs w:val="21"/>
                <w:lang w:val="en-US" w:eastAsia="zh-CN" w:bidi="ar-SA"/>
              </w:rPr>
              <w:t>每多1年加1分，最高得5分。</w:t>
            </w:r>
          </w:p>
          <w:p w14:paraId="7840A44E">
            <w:pPr>
              <w:autoSpaceDE w:val="0"/>
              <w:autoSpaceDN w:val="0"/>
              <w:adjustRightInd w:val="0"/>
              <w:spacing w:line="360" w:lineRule="exact"/>
              <w:jc w:val="left"/>
              <w:rPr>
                <w:rFonts w:hint="eastAsia" w:ascii="宋体" w:hAnsi="宋体" w:eastAsia="宋体" w:cs="仿宋"/>
                <w:bCs/>
                <w:spacing w:val="10"/>
                <w:kern w:val="0"/>
                <w:sz w:val="21"/>
                <w:szCs w:val="21"/>
                <w:lang w:val="en-US" w:eastAsia="zh-CN" w:bidi="ar-SA"/>
              </w:rPr>
            </w:pPr>
            <w:r>
              <w:rPr>
                <w:rFonts w:hint="eastAsia" w:ascii="宋体" w:hAnsi="宋体" w:eastAsia="宋体" w:cs="仿宋"/>
                <w:bCs/>
                <w:spacing w:val="10"/>
                <w:kern w:val="0"/>
                <w:sz w:val="21"/>
                <w:szCs w:val="21"/>
                <w:lang w:val="en-US" w:eastAsia="zh-CN" w:bidi="ar-SA"/>
              </w:rPr>
              <w:t>二、评分依据：</w:t>
            </w:r>
          </w:p>
          <w:p w14:paraId="41DB72A9">
            <w:pPr>
              <w:pStyle w:val="30"/>
              <w:rPr>
                <w:rFonts w:hint="eastAsia" w:ascii="宋体" w:hAnsi="宋体" w:eastAsia="宋体" w:cs="仿宋"/>
                <w:bCs/>
                <w:spacing w:val="10"/>
                <w:kern w:val="0"/>
                <w:sz w:val="21"/>
                <w:szCs w:val="21"/>
                <w:lang w:val="en-US" w:eastAsia="zh-CN" w:bidi="ar-SA"/>
              </w:rPr>
            </w:pPr>
            <w:r>
              <w:rPr>
                <w:rFonts w:hint="eastAsia" w:ascii="宋体" w:hAnsi="宋体" w:eastAsia="宋体" w:cs="仿宋"/>
                <w:bCs/>
                <w:spacing w:val="10"/>
                <w:kern w:val="0"/>
                <w:sz w:val="21"/>
                <w:szCs w:val="21"/>
                <w:lang w:val="en-US" w:eastAsia="zh-CN" w:bidi="ar-SA"/>
              </w:rPr>
              <w:t>设计年限需提供设备说明书或由厂家盖章的说明函进行佐证（格式自拟）。</w:t>
            </w:r>
          </w:p>
        </w:tc>
        <w:tc>
          <w:tcPr>
            <w:tcW w:w="920" w:type="dxa"/>
            <w:noWrap w:val="0"/>
            <w:vAlign w:val="center"/>
          </w:tcPr>
          <w:p w14:paraId="3811B9F3">
            <w:pPr>
              <w:ind w:left="-78" w:leftChars="-37" w:right="-73" w:rightChars="-35"/>
              <w:jc w:val="center"/>
              <w:rPr>
                <w:rFonts w:hint="default" w:ascii="宋体" w:hAnsi="宋体" w:cs="宋体"/>
                <w:szCs w:val="21"/>
                <w:highlight w:val="yellow"/>
                <w:lang w:val="en-US" w:eastAsia="zh-CN"/>
              </w:rPr>
            </w:pPr>
            <w:r>
              <w:rPr>
                <w:rFonts w:hint="eastAsia" w:ascii="宋体" w:hAnsi="宋体" w:cs="宋体"/>
                <w:szCs w:val="21"/>
                <w:highlight w:val="yellow"/>
                <w:lang w:val="en-US" w:eastAsia="zh-CN"/>
              </w:rPr>
              <w:t>5</w:t>
            </w:r>
          </w:p>
        </w:tc>
      </w:tr>
      <w:tr w14:paraId="07C6E62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15" w:hRule="atLeast"/>
        </w:trPr>
        <w:tc>
          <w:tcPr>
            <w:tcW w:w="680" w:type="dxa"/>
            <w:tcBorders>
              <w:top w:val="single" w:color="auto" w:sz="4" w:space="0"/>
              <w:bottom w:val="single" w:color="auto" w:sz="4" w:space="0"/>
            </w:tcBorders>
            <w:noWrap w:val="0"/>
            <w:vAlign w:val="center"/>
          </w:tcPr>
          <w:p w14:paraId="16210137">
            <w:pPr>
              <w:pStyle w:val="29"/>
              <w:numPr>
                <w:ilvl w:val="0"/>
                <w:numId w:val="4"/>
              </w:numPr>
              <w:ind w:firstLineChars="0"/>
              <w:jc w:val="right"/>
              <w:rPr>
                <w:rFonts w:ascii="宋体" w:hAnsi="宋体" w:cs="宋体"/>
                <w:szCs w:val="21"/>
              </w:rPr>
            </w:pPr>
          </w:p>
        </w:tc>
        <w:tc>
          <w:tcPr>
            <w:tcW w:w="1202" w:type="dxa"/>
            <w:noWrap w:val="0"/>
            <w:vAlign w:val="center"/>
          </w:tcPr>
          <w:p w14:paraId="0E32B44A">
            <w:pPr>
              <w:adjustRightInd w:val="0"/>
              <w:snapToGrid w:val="0"/>
              <w:spacing w:line="240" w:lineRule="atLeast"/>
              <w:jc w:val="center"/>
              <w:rPr>
                <w:rFonts w:ascii="宋体" w:hAnsi="宋体" w:cs="宋体"/>
                <w:kern w:val="0"/>
                <w:szCs w:val="21"/>
              </w:rPr>
            </w:pPr>
            <w:r>
              <w:rPr>
                <w:rFonts w:hint="eastAsia" w:ascii="宋体" w:hAnsi="宋体" w:cs="宋体"/>
                <w:szCs w:val="21"/>
              </w:rPr>
              <w:t>售后服务方案</w:t>
            </w:r>
          </w:p>
        </w:tc>
        <w:tc>
          <w:tcPr>
            <w:tcW w:w="6345" w:type="dxa"/>
            <w:noWrap w:val="0"/>
            <w:vAlign w:val="center"/>
          </w:tcPr>
          <w:p w14:paraId="6BF6B248">
            <w:pPr>
              <w:pStyle w:val="5"/>
              <w:ind w:firstLine="0"/>
              <w:rPr>
                <w:rFonts w:ascii="宋体" w:hAnsi="宋体" w:cs="宋体"/>
              </w:rPr>
            </w:pPr>
            <w:r>
              <w:rPr>
                <w:rFonts w:hint="eastAsia" w:ascii="宋体" w:hAnsi="宋体" w:cs="宋体"/>
                <w:sz w:val="21"/>
                <w:szCs w:val="21"/>
              </w:rPr>
              <w:t>投标人需提供售后服务方案，包括但不限于：</w:t>
            </w:r>
          </w:p>
          <w:p w14:paraId="2129CD50">
            <w:pPr>
              <w:pStyle w:val="5"/>
              <w:ind w:firstLine="0"/>
              <w:rPr>
                <w:rFonts w:ascii="宋体" w:hAnsi="宋体" w:cs="宋体"/>
              </w:rPr>
            </w:pPr>
            <w:r>
              <w:rPr>
                <w:rFonts w:hint="eastAsia" w:ascii="宋体" w:hAnsi="宋体" w:cs="仿宋"/>
                <w:sz w:val="21"/>
                <w:szCs w:val="21"/>
              </w:rPr>
              <w:t>（1）</w:t>
            </w:r>
            <w:r>
              <w:rPr>
                <w:rFonts w:hint="eastAsia" w:ascii="宋体" w:hAnsi="宋体" w:cs="宋体"/>
                <w:sz w:val="21"/>
                <w:szCs w:val="21"/>
              </w:rPr>
              <w:t>售后服务机构及维护人员配置；</w:t>
            </w:r>
          </w:p>
          <w:p w14:paraId="65DA12F8">
            <w:pPr>
              <w:pStyle w:val="5"/>
              <w:ind w:firstLine="0"/>
              <w:rPr>
                <w:rFonts w:ascii="宋体" w:hAnsi="宋体" w:cs="宋体"/>
              </w:rPr>
            </w:pPr>
            <w:r>
              <w:rPr>
                <w:rFonts w:hint="eastAsia" w:ascii="宋体" w:hAnsi="宋体" w:cs="仿宋"/>
                <w:sz w:val="21"/>
                <w:szCs w:val="21"/>
              </w:rPr>
              <w:t>（2）</w:t>
            </w:r>
            <w:r>
              <w:rPr>
                <w:rFonts w:hint="eastAsia" w:ascii="宋体" w:hAnsi="宋体" w:cs="宋体"/>
                <w:sz w:val="21"/>
                <w:szCs w:val="21"/>
              </w:rPr>
              <w:t>保修期内的保修方案；</w:t>
            </w:r>
          </w:p>
          <w:p w14:paraId="0C0B9D8D">
            <w:pPr>
              <w:pStyle w:val="5"/>
              <w:ind w:firstLine="0"/>
              <w:rPr>
                <w:rFonts w:ascii="宋体" w:hAnsi="宋体" w:cs="宋体"/>
              </w:rPr>
            </w:pPr>
            <w:r>
              <w:rPr>
                <w:rFonts w:hint="eastAsia" w:ascii="宋体" w:hAnsi="宋体" w:cs="仿宋"/>
                <w:sz w:val="21"/>
                <w:szCs w:val="21"/>
              </w:rPr>
              <w:t>（3）</w:t>
            </w:r>
            <w:r>
              <w:rPr>
                <w:rFonts w:hint="eastAsia" w:ascii="宋体" w:hAnsi="宋体" w:cs="宋体"/>
                <w:sz w:val="21"/>
                <w:szCs w:val="21"/>
              </w:rPr>
              <w:t>保修期外的维保方案；</w:t>
            </w:r>
          </w:p>
          <w:p w14:paraId="3B7A044D">
            <w:pPr>
              <w:pStyle w:val="5"/>
              <w:ind w:firstLine="0"/>
              <w:rPr>
                <w:rFonts w:ascii="宋体" w:hAnsi="宋体" w:cs="宋体"/>
              </w:rPr>
            </w:pPr>
            <w:r>
              <w:rPr>
                <w:rFonts w:hint="eastAsia" w:ascii="宋体" w:hAnsi="宋体" w:cs="宋体"/>
                <w:sz w:val="21"/>
                <w:szCs w:val="21"/>
              </w:rPr>
              <w:t>一、投标人提供上述</w:t>
            </w:r>
            <w:r>
              <w:rPr>
                <w:rFonts w:hint="eastAsia" w:ascii="宋体" w:hAnsi="宋体" w:cs="宋体"/>
                <w:sz w:val="21"/>
                <w:szCs w:val="21"/>
                <w:lang w:val="en-US" w:eastAsia="zh-CN"/>
              </w:rPr>
              <w:t>2</w:t>
            </w:r>
            <w:r>
              <w:rPr>
                <w:rFonts w:hint="eastAsia" w:ascii="宋体" w:hAnsi="宋体" w:cs="宋体"/>
                <w:sz w:val="21"/>
                <w:szCs w:val="21"/>
              </w:rPr>
              <w:t>项内容得</w:t>
            </w:r>
            <w:r>
              <w:rPr>
                <w:rFonts w:hint="eastAsia" w:ascii="宋体" w:hAnsi="宋体" w:cs="宋体"/>
                <w:sz w:val="21"/>
                <w:szCs w:val="21"/>
                <w:lang w:val="en-US" w:eastAsia="zh-CN"/>
              </w:rPr>
              <w:t>2</w:t>
            </w:r>
            <w:r>
              <w:rPr>
                <w:rFonts w:hint="eastAsia" w:ascii="宋体" w:hAnsi="宋体" w:cs="宋体"/>
                <w:sz w:val="21"/>
                <w:szCs w:val="21"/>
              </w:rPr>
              <w:t>分；</w:t>
            </w:r>
          </w:p>
          <w:p w14:paraId="204C555E">
            <w:pPr>
              <w:pStyle w:val="5"/>
              <w:ind w:firstLine="0"/>
              <w:rPr>
                <w:rFonts w:ascii="宋体" w:hAnsi="宋体" w:cs="宋体"/>
              </w:rPr>
            </w:pPr>
            <w:r>
              <w:rPr>
                <w:rFonts w:hint="eastAsia" w:ascii="宋体" w:hAnsi="宋体" w:cs="宋体"/>
                <w:sz w:val="21"/>
                <w:szCs w:val="21"/>
              </w:rPr>
              <w:t>提供上述任意1-2项内容得1分；不提供不得分。</w:t>
            </w:r>
          </w:p>
          <w:p w14:paraId="50D49093">
            <w:pPr>
              <w:pStyle w:val="5"/>
              <w:ind w:firstLine="0"/>
              <w:rPr>
                <w:rFonts w:ascii="宋体" w:hAnsi="宋体" w:cs="宋体"/>
              </w:rPr>
            </w:pPr>
            <w:r>
              <w:rPr>
                <w:rFonts w:hint="eastAsia" w:ascii="宋体" w:hAnsi="宋体" w:cs="宋体"/>
                <w:sz w:val="21"/>
                <w:szCs w:val="21"/>
              </w:rPr>
              <w:t>二、在此基础上，根据投标人的提供的内容按照量化的评审因素指标进一步评审：</w:t>
            </w:r>
          </w:p>
          <w:p w14:paraId="2BAE1785">
            <w:pPr>
              <w:pStyle w:val="5"/>
              <w:ind w:firstLine="0"/>
              <w:rPr>
                <w:rFonts w:ascii="宋体" w:hAnsi="宋体" w:cs="宋体"/>
              </w:rPr>
            </w:pPr>
            <w:r>
              <w:rPr>
                <w:rFonts w:hint="eastAsia" w:ascii="宋体" w:hAnsi="宋体" w:cs="仿宋"/>
                <w:sz w:val="21"/>
                <w:szCs w:val="21"/>
              </w:rPr>
              <w:t>（1）</w:t>
            </w:r>
            <w:r>
              <w:rPr>
                <w:rFonts w:hint="eastAsia" w:ascii="宋体" w:hAnsi="宋体" w:cs="宋体"/>
                <w:sz w:val="21"/>
                <w:szCs w:val="21"/>
              </w:rPr>
              <w:t>有服务热线、专业的维修人员、量化的响应时间；</w:t>
            </w:r>
          </w:p>
          <w:p w14:paraId="7EB49D12">
            <w:pPr>
              <w:pStyle w:val="5"/>
              <w:ind w:firstLine="0"/>
              <w:rPr>
                <w:rFonts w:ascii="宋体" w:hAnsi="宋体" w:cs="宋体"/>
              </w:rPr>
            </w:pPr>
            <w:r>
              <w:rPr>
                <w:rFonts w:hint="eastAsia" w:ascii="宋体" w:hAnsi="宋体" w:cs="仿宋"/>
                <w:sz w:val="21"/>
                <w:szCs w:val="21"/>
              </w:rPr>
              <w:t>（2）</w:t>
            </w:r>
            <w:r>
              <w:rPr>
                <w:rFonts w:hint="eastAsia" w:ascii="宋体" w:hAnsi="宋体" w:cs="宋体"/>
                <w:sz w:val="21"/>
                <w:szCs w:val="21"/>
              </w:rPr>
              <w:t>对未能达到的要求有相关的处罚机制；</w:t>
            </w:r>
          </w:p>
          <w:p w14:paraId="1418C19A">
            <w:pPr>
              <w:pStyle w:val="5"/>
              <w:ind w:firstLine="0"/>
              <w:rPr>
                <w:rFonts w:ascii="宋体" w:hAnsi="宋体" w:cs="宋体"/>
              </w:rPr>
            </w:pPr>
            <w:r>
              <w:rPr>
                <w:rFonts w:hint="eastAsia" w:ascii="宋体" w:hAnsi="宋体" w:cs="宋体"/>
                <w:sz w:val="21"/>
                <w:szCs w:val="21"/>
              </w:rPr>
              <w:t>每体现一点内容加1分，最多加</w:t>
            </w:r>
            <w:r>
              <w:rPr>
                <w:rFonts w:hint="eastAsia" w:ascii="宋体" w:hAnsi="宋体" w:cs="宋体"/>
                <w:sz w:val="21"/>
                <w:szCs w:val="21"/>
                <w:lang w:val="en-US" w:eastAsia="zh-CN"/>
              </w:rPr>
              <w:t>1</w:t>
            </w:r>
            <w:r>
              <w:rPr>
                <w:rFonts w:hint="eastAsia" w:ascii="宋体" w:hAnsi="宋体" w:cs="宋体"/>
                <w:sz w:val="21"/>
                <w:szCs w:val="21"/>
              </w:rPr>
              <w:t>分。</w:t>
            </w:r>
          </w:p>
        </w:tc>
        <w:tc>
          <w:tcPr>
            <w:tcW w:w="920" w:type="dxa"/>
            <w:noWrap w:val="0"/>
            <w:vAlign w:val="center"/>
          </w:tcPr>
          <w:p w14:paraId="71B1D83B">
            <w:pPr>
              <w:jc w:val="center"/>
              <w:rPr>
                <w:rFonts w:hint="eastAsia" w:ascii="宋体" w:hAnsi="宋体" w:eastAsia="宋体" w:cs="宋体"/>
                <w:kern w:val="0"/>
                <w:szCs w:val="21"/>
                <w:lang w:eastAsia="zh-CN"/>
              </w:rPr>
            </w:pPr>
            <w:r>
              <w:rPr>
                <w:rFonts w:hint="eastAsia" w:ascii="宋体" w:hAnsi="宋体" w:cs="宋体"/>
                <w:kern w:val="0"/>
                <w:szCs w:val="21"/>
                <w:highlight w:val="yellow"/>
                <w:lang w:val="en-US" w:eastAsia="zh-CN"/>
              </w:rPr>
              <w:t>3</w:t>
            </w:r>
          </w:p>
        </w:tc>
      </w:tr>
      <w:tr w14:paraId="552EF07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87" w:hRule="atLeast"/>
        </w:trPr>
        <w:tc>
          <w:tcPr>
            <w:tcW w:w="680" w:type="dxa"/>
            <w:tcBorders>
              <w:top w:val="single" w:color="auto" w:sz="4" w:space="0"/>
            </w:tcBorders>
            <w:noWrap w:val="0"/>
            <w:vAlign w:val="center"/>
          </w:tcPr>
          <w:p w14:paraId="41FF858D">
            <w:pPr>
              <w:ind w:left="-78" w:leftChars="-37" w:right="-73" w:rightChars="-35"/>
              <w:jc w:val="center"/>
              <w:rPr>
                <w:rFonts w:ascii="宋体" w:hAnsi="宋体" w:cs="宋体"/>
                <w:b/>
                <w:szCs w:val="21"/>
              </w:rPr>
            </w:pPr>
            <w:r>
              <w:rPr>
                <w:rFonts w:hint="eastAsia" w:ascii="宋体" w:hAnsi="宋体" w:cs="宋体"/>
                <w:b/>
                <w:szCs w:val="21"/>
              </w:rPr>
              <w:t>二</w:t>
            </w:r>
          </w:p>
        </w:tc>
        <w:tc>
          <w:tcPr>
            <w:tcW w:w="8467" w:type="dxa"/>
            <w:gridSpan w:val="3"/>
            <w:noWrap w:val="0"/>
            <w:vAlign w:val="center"/>
          </w:tcPr>
          <w:p w14:paraId="2F0F8B12">
            <w:pPr>
              <w:ind w:left="-78" w:leftChars="-37" w:right="-73" w:rightChars="-35"/>
              <w:jc w:val="center"/>
              <w:rPr>
                <w:rFonts w:ascii="宋体" w:hAnsi="宋体" w:cs="宋体"/>
                <w:b/>
                <w:szCs w:val="21"/>
              </w:rPr>
            </w:pPr>
            <w:r>
              <w:rPr>
                <w:rFonts w:hint="eastAsia" w:ascii="宋体" w:hAnsi="宋体" w:cs="宋体"/>
                <w:b/>
                <w:szCs w:val="21"/>
              </w:rPr>
              <w:t>商务部分（1</w:t>
            </w:r>
            <w:r>
              <w:rPr>
                <w:rFonts w:hint="eastAsia" w:ascii="宋体" w:hAnsi="宋体" w:cs="宋体"/>
                <w:b/>
                <w:szCs w:val="21"/>
                <w:lang w:val="en-US" w:eastAsia="zh-CN"/>
              </w:rPr>
              <w:t>7</w:t>
            </w:r>
            <w:r>
              <w:rPr>
                <w:rFonts w:hint="eastAsia" w:ascii="宋体" w:hAnsi="宋体" w:cs="宋体"/>
                <w:b/>
                <w:szCs w:val="21"/>
              </w:rPr>
              <w:t>分）</w:t>
            </w:r>
          </w:p>
        </w:tc>
      </w:tr>
      <w:tr w14:paraId="5797B21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883" w:hRule="atLeast"/>
        </w:trPr>
        <w:tc>
          <w:tcPr>
            <w:tcW w:w="680" w:type="dxa"/>
            <w:tcBorders>
              <w:top w:val="single" w:color="auto" w:sz="4" w:space="0"/>
              <w:bottom w:val="single" w:color="auto" w:sz="4" w:space="0"/>
            </w:tcBorders>
            <w:noWrap w:val="0"/>
            <w:vAlign w:val="center"/>
          </w:tcPr>
          <w:p w14:paraId="05368976">
            <w:pPr>
              <w:pStyle w:val="29"/>
              <w:numPr>
                <w:ilvl w:val="0"/>
                <w:numId w:val="5"/>
              </w:numPr>
              <w:ind w:firstLineChars="0"/>
              <w:jc w:val="center"/>
              <w:rPr>
                <w:rFonts w:ascii="宋体" w:hAnsi="宋体" w:cs="宋体"/>
                <w:szCs w:val="21"/>
              </w:rPr>
            </w:pPr>
          </w:p>
        </w:tc>
        <w:tc>
          <w:tcPr>
            <w:tcW w:w="1202" w:type="dxa"/>
            <w:noWrap w:val="0"/>
            <w:vAlign w:val="center"/>
          </w:tcPr>
          <w:p w14:paraId="740BA1D8">
            <w:pPr>
              <w:wordWrap w:val="0"/>
              <w:jc w:val="center"/>
              <w:textAlignment w:val="top"/>
              <w:rPr>
                <w:rFonts w:ascii="宋体" w:hAnsi="宋体" w:cs="宋体"/>
                <w:szCs w:val="21"/>
              </w:rPr>
            </w:pPr>
            <w:r>
              <w:rPr>
                <w:rFonts w:hint="eastAsia" w:ascii="宋体" w:hAnsi="宋体" w:cs="宋体"/>
                <w:szCs w:val="21"/>
              </w:rPr>
              <w:t>商务条款偏离情况</w:t>
            </w:r>
          </w:p>
        </w:tc>
        <w:tc>
          <w:tcPr>
            <w:tcW w:w="6345" w:type="dxa"/>
            <w:noWrap w:val="0"/>
            <w:vAlign w:val="center"/>
          </w:tcPr>
          <w:p w14:paraId="7F2A8D29">
            <w:pPr>
              <w:autoSpaceDE w:val="0"/>
              <w:autoSpaceDN w:val="0"/>
              <w:adjustRightInd w:val="0"/>
              <w:spacing w:line="360" w:lineRule="exact"/>
              <w:jc w:val="left"/>
              <w:rPr>
                <w:rFonts w:ascii="宋体" w:hAnsi="宋体" w:cs="仿宋"/>
                <w:szCs w:val="21"/>
              </w:rPr>
            </w:pPr>
            <w:r>
              <w:rPr>
                <w:rFonts w:hint="eastAsia" w:ascii="宋体" w:hAnsi="宋体" w:cs="仿宋"/>
                <w:szCs w:val="21"/>
              </w:rPr>
              <w:t>一、投标人自行承诺在满足采购文件的免费保修期前提下，每增加一年得1分，最高得2分。本小项最高得2分。【提供承诺函并加盖投标人公章，格式自拟】</w:t>
            </w:r>
          </w:p>
          <w:p w14:paraId="506902F6">
            <w:pPr>
              <w:adjustRightInd w:val="0"/>
              <w:snapToGrid w:val="0"/>
              <w:spacing w:line="240" w:lineRule="atLeast"/>
              <w:rPr>
                <w:rFonts w:ascii="宋体" w:hAnsi="宋体" w:cs="宋体"/>
                <w:szCs w:val="21"/>
              </w:rPr>
            </w:pPr>
            <w:r>
              <w:rPr>
                <w:rFonts w:hint="eastAsia" w:ascii="宋体" w:hAnsi="宋体" w:cs="仿宋"/>
                <w:szCs w:val="21"/>
              </w:rPr>
              <w:t>二、投标人应如实填写《商务条款偏离表》，评审委员会根据响应情况进行打分: 全部满足得10分，</w:t>
            </w:r>
            <w:r>
              <w:rPr>
                <w:rFonts w:hint="eastAsia" w:ascii="宋体" w:hAnsi="宋体" w:cs="仿宋"/>
                <w:color w:val="F79646"/>
                <w:szCs w:val="21"/>
              </w:rPr>
              <w:t>每负偏离一项扣1分。</w:t>
            </w:r>
          </w:p>
        </w:tc>
        <w:tc>
          <w:tcPr>
            <w:tcW w:w="920" w:type="dxa"/>
            <w:noWrap w:val="0"/>
            <w:vAlign w:val="center"/>
          </w:tcPr>
          <w:p w14:paraId="15AC6AAB">
            <w:pPr>
              <w:ind w:left="-78" w:leftChars="-37" w:right="-73" w:rightChars="-35"/>
              <w:jc w:val="center"/>
              <w:rPr>
                <w:rFonts w:ascii="宋体" w:hAnsi="宋体" w:cs="宋体"/>
                <w:szCs w:val="21"/>
              </w:rPr>
            </w:pPr>
            <w:r>
              <w:rPr>
                <w:rFonts w:hint="eastAsia" w:ascii="宋体" w:hAnsi="宋体" w:cs="宋体"/>
                <w:szCs w:val="21"/>
              </w:rPr>
              <w:t>12</w:t>
            </w:r>
          </w:p>
        </w:tc>
      </w:tr>
      <w:tr w14:paraId="12DA671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883" w:hRule="atLeast"/>
        </w:trPr>
        <w:tc>
          <w:tcPr>
            <w:tcW w:w="680" w:type="dxa"/>
            <w:tcBorders>
              <w:top w:val="single" w:color="auto" w:sz="4" w:space="0"/>
              <w:bottom w:val="single" w:color="auto" w:sz="4" w:space="0"/>
            </w:tcBorders>
            <w:noWrap w:val="0"/>
            <w:vAlign w:val="center"/>
          </w:tcPr>
          <w:p w14:paraId="148A09F4">
            <w:pPr>
              <w:pStyle w:val="29"/>
              <w:numPr>
                <w:ilvl w:val="0"/>
                <w:numId w:val="5"/>
              </w:numPr>
              <w:ind w:firstLineChars="0"/>
              <w:jc w:val="center"/>
              <w:rPr>
                <w:rFonts w:ascii="宋体" w:hAnsi="宋体" w:cs="宋体"/>
                <w:szCs w:val="21"/>
              </w:rPr>
            </w:pPr>
          </w:p>
        </w:tc>
        <w:tc>
          <w:tcPr>
            <w:tcW w:w="1202" w:type="dxa"/>
            <w:noWrap w:val="0"/>
            <w:vAlign w:val="center"/>
          </w:tcPr>
          <w:p w14:paraId="2BC913CC">
            <w:pPr>
              <w:wordWrap w:val="0"/>
              <w:jc w:val="center"/>
              <w:textAlignment w:val="top"/>
              <w:rPr>
                <w:rFonts w:ascii="宋体" w:hAnsi="宋体" w:cs="宋体"/>
                <w:szCs w:val="21"/>
              </w:rPr>
            </w:pPr>
            <w:r>
              <w:rPr>
                <w:rFonts w:hint="eastAsia" w:ascii="宋体" w:hAnsi="宋体" w:cs="宋体"/>
                <w:szCs w:val="21"/>
              </w:rPr>
              <w:t>同类业绩</w:t>
            </w:r>
          </w:p>
        </w:tc>
        <w:tc>
          <w:tcPr>
            <w:tcW w:w="6345" w:type="dxa"/>
            <w:noWrap w:val="0"/>
            <w:vAlign w:val="top"/>
          </w:tcPr>
          <w:p w14:paraId="2C1B289C">
            <w:pPr>
              <w:wordWrap w:val="0"/>
              <w:textAlignment w:val="top"/>
              <w:rPr>
                <w:rFonts w:ascii="宋体" w:hAnsi="宋体" w:cs="宋体"/>
                <w:color w:val="F79646"/>
                <w:szCs w:val="21"/>
              </w:rPr>
            </w:pPr>
            <w:r>
              <w:rPr>
                <w:rFonts w:hint="eastAsia" w:ascii="宋体" w:hAnsi="宋体" w:cs="宋体"/>
                <w:color w:val="F79646"/>
                <w:szCs w:val="21"/>
              </w:rPr>
              <w:t>一、评分内容：</w:t>
            </w:r>
          </w:p>
          <w:p w14:paraId="0FED580D">
            <w:pPr>
              <w:wordWrap w:val="0"/>
              <w:textAlignment w:val="top"/>
              <w:rPr>
                <w:rFonts w:ascii="宋体" w:hAnsi="宋体" w:cs="宋体"/>
                <w:color w:val="F79646"/>
                <w:szCs w:val="21"/>
              </w:rPr>
            </w:pPr>
            <w:r>
              <w:rPr>
                <w:rFonts w:hint="eastAsia" w:ascii="宋体" w:hAnsi="宋体" w:cs="宋体"/>
                <w:color w:val="F79646"/>
                <w:szCs w:val="21"/>
              </w:rPr>
              <w:t>投标人2022年1月1日至投标截止时间前具备同</w:t>
            </w:r>
            <w:r>
              <w:rPr>
                <w:rFonts w:hint="eastAsia" w:ascii="宋体" w:hAnsi="宋体" w:cs="宋体"/>
                <w:color w:val="F79646"/>
                <w:szCs w:val="21"/>
                <w:lang w:eastAsia="zh-CN"/>
              </w:rPr>
              <w:t>产品同型号</w:t>
            </w:r>
            <w:r>
              <w:rPr>
                <w:rFonts w:hint="eastAsia" w:ascii="宋体" w:hAnsi="宋体" w:cs="宋体"/>
                <w:color w:val="F79646"/>
                <w:szCs w:val="21"/>
              </w:rPr>
              <w:t>的</w:t>
            </w:r>
            <w:r>
              <w:rPr>
                <w:rFonts w:hint="eastAsia" w:ascii="宋体" w:hAnsi="宋体" w:cs="宋体"/>
                <w:color w:val="F79646"/>
                <w:szCs w:val="21"/>
                <w:lang w:eastAsia="zh-CN"/>
              </w:rPr>
              <w:t>业绩</w:t>
            </w:r>
            <w:r>
              <w:rPr>
                <w:rFonts w:hint="eastAsia" w:ascii="宋体" w:hAnsi="宋体" w:cs="宋体"/>
                <w:color w:val="F79646"/>
                <w:szCs w:val="21"/>
              </w:rPr>
              <w:t>（以发票或合同签订时间为准），每提供1项得1分，本项最高得3分，不提供不得分。</w:t>
            </w:r>
          </w:p>
          <w:p w14:paraId="40A39DB2">
            <w:pPr>
              <w:wordWrap w:val="0"/>
              <w:textAlignment w:val="top"/>
              <w:rPr>
                <w:rFonts w:ascii="宋体" w:hAnsi="宋体" w:cs="宋体"/>
                <w:color w:val="F79646"/>
                <w:szCs w:val="21"/>
              </w:rPr>
            </w:pPr>
            <w:r>
              <w:rPr>
                <w:rFonts w:hint="eastAsia" w:ascii="宋体" w:hAnsi="宋体" w:cs="宋体"/>
                <w:color w:val="F79646"/>
                <w:szCs w:val="21"/>
              </w:rPr>
              <w:t>二、评分依据：</w:t>
            </w:r>
          </w:p>
          <w:p w14:paraId="71A44412">
            <w:pPr>
              <w:wordWrap w:val="0"/>
              <w:textAlignment w:val="top"/>
              <w:rPr>
                <w:rFonts w:ascii="宋体" w:hAnsi="宋体" w:cs="宋体"/>
                <w:color w:val="F79646"/>
                <w:szCs w:val="21"/>
              </w:rPr>
            </w:pPr>
            <w:r>
              <w:rPr>
                <w:rFonts w:hint="eastAsia" w:ascii="宋体" w:hAnsi="宋体" w:cs="宋体"/>
                <w:color w:val="F79646"/>
                <w:szCs w:val="21"/>
              </w:rPr>
              <w:t>1.提供合同关键信息页证明文件</w:t>
            </w:r>
            <w:r>
              <w:rPr>
                <w:rFonts w:hint="eastAsia"/>
                <w:color w:val="F79646"/>
                <w:szCs w:val="21"/>
              </w:rPr>
              <w:t>（含签订合同双方的单位名称、合同项目名称与含签订合同双方的落款盖章、签订日期的关键页）</w:t>
            </w:r>
            <w:r>
              <w:rPr>
                <w:rFonts w:hint="eastAsia" w:ascii="宋体" w:hAnsi="宋体" w:cs="宋体"/>
                <w:color w:val="F79646"/>
                <w:szCs w:val="21"/>
              </w:rPr>
              <w:t>作为得分依据。</w:t>
            </w:r>
          </w:p>
          <w:p w14:paraId="7BAE98FF">
            <w:pPr>
              <w:pStyle w:val="30"/>
              <w:rPr>
                <w:rFonts w:hint="eastAsia" w:eastAsia="宋体"/>
                <w:color w:val="F79646"/>
                <w:lang w:eastAsia="zh-CN"/>
              </w:rPr>
            </w:pPr>
            <w:r>
              <w:rPr>
                <w:rFonts w:hint="eastAsia" w:ascii="宋体" w:hAnsi="宋体" w:cs="宋体"/>
                <w:bCs w:val="0"/>
                <w:color w:val="F79646"/>
                <w:sz w:val="21"/>
                <w:szCs w:val="21"/>
              </w:rPr>
              <w:t>2.提供发票或中标、成交通知书作为证明文件</w:t>
            </w:r>
            <w:r>
              <w:rPr>
                <w:rFonts w:hint="eastAsia" w:ascii="宋体" w:hAnsi="宋体" w:cs="宋体"/>
                <w:bCs w:val="0"/>
                <w:color w:val="F79646"/>
                <w:sz w:val="21"/>
                <w:szCs w:val="21"/>
                <w:lang w:eastAsia="zh-CN"/>
              </w:rPr>
              <w:t>。</w:t>
            </w:r>
          </w:p>
          <w:p w14:paraId="724F101F">
            <w:pPr>
              <w:wordWrap w:val="0"/>
              <w:textAlignment w:val="top"/>
              <w:rPr>
                <w:rFonts w:ascii="宋体" w:hAnsi="宋体" w:cs="宋体"/>
                <w:color w:val="F79646"/>
                <w:szCs w:val="21"/>
              </w:rPr>
            </w:pPr>
            <w:r>
              <w:rPr>
                <w:rFonts w:hint="eastAsia" w:ascii="宋体" w:hAnsi="宋体" w:cs="宋体"/>
                <w:color w:val="F79646"/>
                <w:szCs w:val="21"/>
              </w:rPr>
              <w:t>3.通过合同关键信息页无法判断是否得分的，还须同时提供能证明得分的其他证明资料，如项目报告或合同甲方出具的证明文件等。</w:t>
            </w:r>
          </w:p>
          <w:p w14:paraId="614F7ACC">
            <w:pPr>
              <w:wordWrap w:val="0"/>
              <w:textAlignment w:val="top"/>
              <w:rPr>
                <w:rFonts w:ascii="宋体" w:hAnsi="宋体" w:cs="宋体"/>
                <w:szCs w:val="21"/>
              </w:rPr>
            </w:pPr>
            <w:r>
              <w:rPr>
                <w:rFonts w:hint="eastAsia" w:ascii="宋体" w:hAnsi="宋体" w:cs="宋体"/>
                <w:color w:val="F79646"/>
                <w:szCs w:val="21"/>
              </w:rPr>
              <w:t>4.以上资料均要求提供复印件。评分中出现无证明资料或专家无法凭所提供资料判断是否得分的情况，一律作不得分处理。</w:t>
            </w:r>
          </w:p>
        </w:tc>
        <w:tc>
          <w:tcPr>
            <w:tcW w:w="920" w:type="dxa"/>
            <w:noWrap w:val="0"/>
            <w:vAlign w:val="center"/>
          </w:tcPr>
          <w:p w14:paraId="3A6A0BFA">
            <w:pPr>
              <w:ind w:left="-78" w:leftChars="-37" w:right="-73" w:rightChars="-35"/>
              <w:jc w:val="center"/>
              <w:rPr>
                <w:rFonts w:ascii="宋体" w:hAnsi="宋体" w:cs="宋体"/>
                <w:szCs w:val="21"/>
              </w:rPr>
            </w:pPr>
            <w:r>
              <w:rPr>
                <w:rFonts w:hint="eastAsia" w:ascii="宋体" w:hAnsi="宋体" w:cs="宋体"/>
                <w:szCs w:val="21"/>
              </w:rPr>
              <w:t>3</w:t>
            </w:r>
          </w:p>
        </w:tc>
      </w:tr>
      <w:tr w14:paraId="7F589F8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883" w:hRule="atLeast"/>
        </w:trPr>
        <w:tc>
          <w:tcPr>
            <w:tcW w:w="680" w:type="dxa"/>
            <w:tcBorders>
              <w:top w:val="single" w:color="auto" w:sz="4" w:space="0"/>
              <w:bottom w:val="single" w:color="auto" w:sz="4" w:space="0"/>
            </w:tcBorders>
            <w:noWrap w:val="0"/>
            <w:vAlign w:val="center"/>
          </w:tcPr>
          <w:p w14:paraId="75B1B0A8">
            <w:pPr>
              <w:pStyle w:val="29"/>
              <w:numPr>
                <w:ilvl w:val="0"/>
                <w:numId w:val="5"/>
              </w:numPr>
              <w:ind w:firstLineChars="0"/>
              <w:jc w:val="center"/>
              <w:rPr>
                <w:rFonts w:ascii="宋体" w:hAnsi="宋体" w:cs="宋体"/>
                <w:szCs w:val="21"/>
              </w:rPr>
            </w:pPr>
          </w:p>
        </w:tc>
        <w:tc>
          <w:tcPr>
            <w:tcW w:w="1202" w:type="dxa"/>
            <w:noWrap w:val="0"/>
            <w:vAlign w:val="center"/>
          </w:tcPr>
          <w:p w14:paraId="12DEED8C">
            <w:pPr>
              <w:wordWrap w:val="0"/>
              <w:jc w:val="center"/>
              <w:textAlignment w:val="top"/>
              <w:rPr>
                <w:rFonts w:hint="eastAsia" w:ascii="宋体" w:hAnsi="宋体" w:eastAsia="宋体" w:cs="宋体"/>
                <w:sz w:val="21"/>
                <w:szCs w:val="21"/>
                <w:lang w:eastAsia="zh-CN"/>
              </w:rPr>
            </w:pPr>
            <w:r>
              <w:rPr>
                <w:rFonts w:hint="eastAsia" w:ascii="宋体" w:hAnsi="宋体" w:cs="宋体"/>
                <w:sz w:val="21"/>
                <w:szCs w:val="21"/>
                <w:lang w:eastAsia="zh-CN"/>
              </w:rPr>
              <w:t>诚信</w:t>
            </w:r>
          </w:p>
        </w:tc>
        <w:tc>
          <w:tcPr>
            <w:tcW w:w="6345" w:type="dxa"/>
            <w:noWrap w:val="0"/>
            <w:vAlign w:val="top"/>
          </w:tcPr>
          <w:p w14:paraId="12B1A5AD">
            <w:pPr>
              <w:widowControl/>
              <w:spacing w:after="0"/>
              <w:jc w:val="left"/>
              <w:rPr>
                <w:rFonts w:hint="eastAsia" w:ascii="Times New Roman" w:hAnsi="Times New Roman" w:eastAsia="宋体" w:cs="宋体"/>
                <w:kern w:val="2"/>
                <w:sz w:val="21"/>
                <w:szCs w:val="21"/>
                <w:highlight w:val="none"/>
                <w:lang w:val="en-US" w:eastAsia="zh-CN" w:bidi="ar-SA"/>
              </w:rPr>
            </w:pPr>
            <w:r>
              <w:rPr>
                <w:rFonts w:hint="eastAsia" w:ascii="Times New Roman" w:hAnsi="Times New Roman" w:eastAsia="宋体" w:cs="宋体"/>
                <w:kern w:val="2"/>
                <w:sz w:val="21"/>
                <w:szCs w:val="21"/>
                <w:highlight w:val="none"/>
                <w:lang w:val="en-US" w:eastAsia="zh-CN" w:bidi="ar-SA"/>
              </w:rPr>
              <w:t>一、评分内容：</w:t>
            </w:r>
          </w:p>
          <w:p w14:paraId="216CE187">
            <w:pPr>
              <w:rPr>
                <w:rFonts w:hint="eastAsia" w:cs="宋体"/>
                <w:sz w:val="21"/>
                <w:szCs w:val="21"/>
                <w:highlight w:val="none"/>
              </w:rPr>
            </w:pPr>
            <w:r>
              <w:rPr>
                <w:rFonts w:hint="eastAsia" w:cs="宋体"/>
                <w:sz w:val="21"/>
                <w:szCs w:val="21"/>
                <w:highlight w:val="none"/>
              </w:rPr>
              <w:t>供应商存在《深圳市财政局政府采购供应商信用信息管理办法》（深财规〔2023〕3号）列明的一般行政处罚信息、一般违法失信记录信息的，本项不得分，不存在上述情形的本项得</w:t>
            </w:r>
            <w:r>
              <w:rPr>
                <w:rFonts w:hint="eastAsia" w:cs="宋体"/>
                <w:sz w:val="21"/>
                <w:szCs w:val="21"/>
                <w:highlight w:val="none"/>
                <w:lang w:val="en-US" w:eastAsia="zh-CN"/>
              </w:rPr>
              <w:t>2</w:t>
            </w:r>
            <w:r>
              <w:rPr>
                <w:rFonts w:hint="eastAsia" w:cs="宋体"/>
                <w:sz w:val="21"/>
                <w:szCs w:val="21"/>
                <w:highlight w:val="none"/>
              </w:rPr>
              <w:t>分。供应商</w:t>
            </w:r>
            <w:r>
              <w:rPr>
                <w:rFonts w:hint="eastAsia" w:cs="宋体"/>
                <w:sz w:val="21"/>
                <w:szCs w:val="21"/>
                <w:highlight w:val="none"/>
                <w:lang w:eastAsia="zh-CN"/>
              </w:rPr>
              <w:t>报名时</w:t>
            </w:r>
            <w:r>
              <w:rPr>
                <w:rFonts w:hint="eastAsia" w:cs="宋体"/>
                <w:sz w:val="21"/>
                <w:szCs w:val="21"/>
                <w:highlight w:val="none"/>
              </w:rPr>
              <w:t>提供有关供应商诚信查询结果。</w:t>
            </w:r>
          </w:p>
          <w:p w14:paraId="7ABBBD72">
            <w:pPr>
              <w:widowControl/>
              <w:spacing w:after="0"/>
              <w:jc w:val="left"/>
              <w:rPr>
                <w:rFonts w:hint="eastAsia" w:ascii="Times New Roman" w:hAnsi="Times New Roman" w:eastAsia="宋体" w:cs="宋体"/>
                <w:kern w:val="2"/>
                <w:sz w:val="21"/>
                <w:szCs w:val="21"/>
                <w:highlight w:val="none"/>
                <w:lang w:val="en-US" w:eastAsia="zh-CN" w:bidi="ar-SA"/>
              </w:rPr>
            </w:pPr>
            <w:r>
              <w:rPr>
                <w:rFonts w:hint="eastAsia" w:ascii="Times New Roman" w:hAnsi="Times New Roman" w:eastAsia="宋体" w:cs="宋体"/>
                <w:kern w:val="2"/>
                <w:sz w:val="21"/>
                <w:szCs w:val="21"/>
                <w:highlight w:val="none"/>
                <w:lang w:val="en-US" w:eastAsia="zh-CN" w:bidi="ar-SA"/>
              </w:rPr>
              <w:t>二、评分依据：</w:t>
            </w:r>
          </w:p>
          <w:p w14:paraId="2017B67A">
            <w:pPr>
              <w:wordWrap w:val="0"/>
              <w:textAlignment w:val="top"/>
              <w:rPr>
                <w:rFonts w:hint="eastAsia" w:ascii="宋体" w:hAnsi="宋体" w:cs="宋体"/>
                <w:color w:val="F79646"/>
                <w:sz w:val="21"/>
                <w:szCs w:val="21"/>
              </w:rPr>
            </w:pPr>
            <w:r>
              <w:rPr>
                <w:rFonts w:hint="eastAsia" w:cs="宋体"/>
                <w:sz w:val="21"/>
                <w:szCs w:val="21"/>
                <w:highlight w:val="none"/>
              </w:rPr>
              <w:t>查询渠道：通过“信用中国”（www.creditchina.gov.cn，</w:t>
            </w:r>
            <w:r>
              <w:rPr>
                <w:rFonts w:hint="eastAsia" w:cs="宋体"/>
                <w:b w:val="0"/>
                <w:bCs w:val="0"/>
                <w:sz w:val="21"/>
                <w:szCs w:val="21"/>
                <w:highlight w:val="none"/>
              </w:rPr>
              <w:t>下载信用信息报告</w:t>
            </w:r>
            <w:r>
              <w:rPr>
                <w:rFonts w:hint="eastAsia" w:cs="宋体"/>
                <w:sz w:val="21"/>
                <w:szCs w:val="21"/>
                <w:highlight w:val="none"/>
              </w:rPr>
              <w:t>）、“中国政府采购网”（www.ccgp.gov.cn）以及“深圳市政府采购监管网”（http://zfcg.sz.gov.cn）查询供应商信用信息，信用信息以开标当日的查询结果为准。</w:t>
            </w:r>
          </w:p>
        </w:tc>
        <w:tc>
          <w:tcPr>
            <w:tcW w:w="920" w:type="dxa"/>
            <w:noWrap w:val="0"/>
            <w:vAlign w:val="center"/>
          </w:tcPr>
          <w:p w14:paraId="7D749B56">
            <w:pPr>
              <w:ind w:left="-78" w:leftChars="-37" w:right="-73" w:rightChars="-35"/>
              <w:jc w:val="center"/>
              <w:rPr>
                <w:rFonts w:hint="eastAsia" w:ascii="宋体" w:hAnsi="宋体" w:eastAsia="宋体" w:cs="宋体"/>
                <w:sz w:val="21"/>
                <w:szCs w:val="21"/>
                <w:lang w:val="en-US" w:eastAsia="zh-CN"/>
              </w:rPr>
            </w:pPr>
            <w:r>
              <w:rPr>
                <w:rFonts w:hint="eastAsia" w:ascii="宋体" w:hAnsi="宋体" w:cs="宋体"/>
                <w:sz w:val="21"/>
                <w:szCs w:val="21"/>
                <w:lang w:val="en-US" w:eastAsia="zh-CN"/>
              </w:rPr>
              <w:t>2</w:t>
            </w:r>
          </w:p>
        </w:tc>
      </w:tr>
      <w:tr w14:paraId="6BDB396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47" w:hRule="atLeast"/>
        </w:trPr>
        <w:tc>
          <w:tcPr>
            <w:tcW w:w="680" w:type="dxa"/>
            <w:tcBorders>
              <w:top w:val="single" w:color="auto" w:sz="4" w:space="0"/>
            </w:tcBorders>
            <w:noWrap w:val="0"/>
            <w:vAlign w:val="center"/>
          </w:tcPr>
          <w:p w14:paraId="359FE970">
            <w:pPr>
              <w:jc w:val="center"/>
              <w:rPr>
                <w:rFonts w:ascii="宋体" w:hAnsi="宋体" w:cs="宋体"/>
                <w:b/>
                <w:szCs w:val="21"/>
              </w:rPr>
            </w:pPr>
            <w:r>
              <w:rPr>
                <w:rFonts w:hint="eastAsia" w:ascii="宋体" w:hAnsi="宋体" w:cs="宋体"/>
                <w:b/>
                <w:szCs w:val="21"/>
              </w:rPr>
              <w:t>三</w:t>
            </w:r>
          </w:p>
        </w:tc>
        <w:tc>
          <w:tcPr>
            <w:tcW w:w="8467" w:type="dxa"/>
            <w:gridSpan w:val="3"/>
            <w:noWrap w:val="0"/>
            <w:vAlign w:val="center"/>
          </w:tcPr>
          <w:p w14:paraId="7EE14C33">
            <w:pPr>
              <w:ind w:left="-78" w:leftChars="-37" w:right="-73" w:rightChars="-35"/>
              <w:jc w:val="center"/>
              <w:rPr>
                <w:rFonts w:ascii="宋体" w:hAnsi="宋体" w:cs="宋体"/>
                <w:b/>
                <w:szCs w:val="21"/>
              </w:rPr>
            </w:pPr>
            <w:r>
              <w:rPr>
                <w:rFonts w:hint="eastAsia" w:ascii="宋体" w:hAnsi="宋体" w:cs="宋体"/>
                <w:b/>
                <w:szCs w:val="21"/>
              </w:rPr>
              <w:t>价格部分（30分）</w:t>
            </w:r>
          </w:p>
        </w:tc>
      </w:tr>
      <w:tr w14:paraId="3DC5246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20" w:hRule="atLeast"/>
        </w:trPr>
        <w:tc>
          <w:tcPr>
            <w:tcW w:w="680" w:type="dxa"/>
            <w:noWrap w:val="0"/>
            <w:vAlign w:val="center"/>
          </w:tcPr>
          <w:p w14:paraId="51B1B2E6">
            <w:pPr>
              <w:jc w:val="center"/>
              <w:rPr>
                <w:rFonts w:ascii="宋体" w:hAnsi="宋体" w:cs="宋体"/>
                <w:szCs w:val="21"/>
              </w:rPr>
            </w:pPr>
            <w:r>
              <w:rPr>
                <w:rFonts w:hint="eastAsia" w:ascii="宋体" w:hAnsi="宋体" w:cs="宋体"/>
                <w:szCs w:val="21"/>
              </w:rPr>
              <w:t>1</w:t>
            </w:r>
          </w:p>
        </w:tc>
        <w:tc>
          <w:tcPr>
            <w:tcW w:w="1202" w:type="dxa"/>
            <w:noWrap w:val="0"/>
            <w:vAlign w:val="center"/>
          </w:tcPr>
          <w:p w14:paraId="0B505235">
            <w:pPr>
              <w:jc w:val="center"/>
              <w:rPr>
                <w:rFonts w:ascii="宋体" w:hAnsi="宋体" w:cs="宋体"/>
                <w:szCs w:val="21"/>
              </w:rPr>
            </w:pPr>
            <w:r>
              <w:rPr>
                <w:rFonts w:hint="eastAsia" w:ascii="宋体" w:hAnsi="宋体" w:cs="宋体"/>
                <w:szCs w:val="21"/>
              </w:rPr>
              <w:t>投标报价</w:t>
            </w:r>
          </w:p>
        </w:tc>
        <w:tc>
          <w:tcPr>
            <w:tcW w:w="6345" w:type="dxa"/>
            <w:noWrap w:val="0"/>
            <w:vAlign w:val="center"/>
          </w:tcPr>
          <w:p w14:paraId="42DD317B">
            <w:pPr>
              <w:autoSpaceDE w:val="0"/>
              <w:autoSpaceDN w:val="0"/>
              <w:adjustRightInd w:val="0"/>
              <w:snapToGrid w:val="0"/>
              <w:rPr>
                <w:rFonts w:ascii="宋体" w:hAnsi="宋体" w:cs="宋体"/>
                <w:kern w:val="0"/>
                <w:szCs w:val="21"/>
              </w:rPr>
            </w:pPr>
            <w:r>
              <w:rPr>
                <w:rFonts w:hint="eastAsia" w:ascii="宋体" w:hAnsi="宋体" w:cs="宋体"/>
                <w:kern w:val="0"/>
                <w:szCs w:val="21"/>
              </w:rPr>
              <w:t>价格分应当采用低价优先法计算，即满足招标文件要求且投标价格最低的投标报价为评标基准价，其价格分为满分。其他投标人的价格分统一按照下列公式计算：</w:t>
            </w:r>
          </w:p>
          <w:p w14:paraId="2E03EF8A">
            <w:pPr>
              <w:widowControl/>
              <w:jc w:val="left"/>
              <w:rPr>
                <w:rFonts w:ascii="宋体" w:hAnsi="宋体" w:cs="宋体"/>
                <w:kern w:val="0"/>
                <w:szCs w:val="21"/>
              </w:rPr>
            </w:pPr>
            <w:r>
              <w:rPr>
                <w:rFonts w:hint="eastAsia" w:ascii="宋体" w:hAnsi="宋体" w:cs="宋体"/>
                <w:kern w:val="0"/>
                <w:szCs w:val="21"/>
              </w:rPr>
              <w:t>投标报价得分=(评标基准价／投标报价)×100×权重</w:t>
            </w:r>
          </w:p>
          <w:p w14:paraId="04383A03">
            <w:pPr>
              <w:widowControl/>
              <w:jc w:val="left"/>
              <w:rPr>
                <w:rFonts w:ascii="宋体" w:hAnsi="宋体" w:cs="宋体"/>
                <w:szCs w:val="21"/>
              </w:rPr>
            </w:pPr>
            <w:r>
              <w:rPr>
                <w:rFonts w:hint="eastAsia" w:ascii="宋体" w:hAnsi="宋体" w:cs="宋体"/>
                <w:szCs w:val="21"/>
              </w:rPr>
              <w:t>备注：</w:t>
            </w:r>
          </w:p>
          <w:p w14:paraId="3E8E2EF1">
            <w:pPr>
              <w:widowControl/>
              <w:jc w:val="left"/>
              <w:rPr>
                <w:rFonts w:ascii="宋体" w:hAnsi="宋体" w:cs="宋体"/>
                <w:szCs w:val="21"/>
              </w:rPr>
            </w:pPr>
            <w:r>
              <w:rPr>
                <w:rFonts w:hint="eastAsia" w:ascii="宋体" w:hAnsi="宋体" w:cs="宋体"/>
                <w:szCs w:val="21"/>
              </w:rPr>
              <w:t>1、投标报价得分四舍五入后，小数点后保留两位有效数。</w:t>
            </w:r>
          </w:p>
          <w:p w14:paraId="19597BFE">
            <w:pPr>
              <w:rPr>
                <w:rStyle w:val="20"/>
                <w:rFonts w:cs="宋体"/>
              </w:rPr>
            </w:pPr>
            <w:r>
              <w:rPr>
                <w:rStyle w:val="20"/>
                <w:rFonts w:hint="eastAsia" w:cs="宋体"/>
                <w:b/>
              </w:rPr>
              <w:t>2、因落实政府采购政策进行价格调整的，以调整后的价格计算评标基准价和投标报价，详见《价格扣除》。</w:t>
            </w:r>
          </w:p>
        </w:tc>
        <w:tc>
          <w:tcPr>
            <w:tcW w:w="920" w:type="dxa"/>
            <w:noWrap w:val="0"/>
            <w:vAlign w:val="center"/>
          </w:tcPr>
          <w:p w14:paraId="0DAFADBA">
            <w:pPr>
              <w:ind w:left="-78" w:leftChars="-37" w:right="-73" w:rightChars="-35"/>
              <w:jc w:val="center"/>
              <w:rPr>
                <w:rFonts w:ascii="宋体" w:hAnsi="宋体" w:cs="宋体"/>
                <w:szCs w:val="21"/>
              </w:rPr>
            </w:pPr>
            <w:r>
              <w:rPr>
                <w:rFonts w:hint="eastAsia" w:ascii="宋体" w:hAnsi="宋体" w:cs="宋体"/>
                <w:szCs w:val="21"/>
              </w:rPr>
              <w:t>30</w:t>
            </w:r>
          </w:p>
        </w:tc>
      </w:tr>
      <w:tr w14:paraId="4CBBDDE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23" w:hRule="atLeast"/>
        </w:trPr>
        <w:tc>
          <w:tcPr>
            <w:tcW w:w="8227" w:type="dxa"/>
            <w:gridSpan w:val="3"/>
            <w:noWrap w:val="0"/>
            <w:vAlign w:val="center"/>
          </w:tcPr>
          <w:p w14:paraId="5E64AB69">
            <w:pPr>
              <w:ind w:left="-78" w:leftChars="-37" w:right="-73" w:rightChars="-35"/>
              <w:jc w:val="center"/>
              <w:rPr>
                <w:rFonts w:ascii="宋体" w:hAnsi="宋体" w:cs="宋体"/>
                <w:szCs w:val="21"/>
              </w:rPr>
            </w:pPr>
            <w:r>
              <w:rPr>
                <w:rFonts w:hint="eastAsia" w:ascii="宋体" w:hAnsi="宋体" w:cs="宋体"/>
                <w:szCs w:val="21"/>
              </w:rPr>
              <w:t>合计</w:t>
            </w:r>
          </w:p>
        </w:tc>
        <w:tc>
          <w:tcPr>
            <w:tcW w:w="920" w:type="dxa"/>
            <w:noWrap w:val="0"/>
            <w:vAlign w:val="center"/>
          </w:tcPr>
          <w:p w14:paraId="2AB1DCB9">
            <w:pPr>
              <w:ind w:left="-78" w:leftChars="-37" w:right="-73" w:rightChars="-35"/>
              <w:jc w:val="center"/>
              <w:rPr>
                <w:rFonts w:ascii="宋体" w:hAnsi="宋体" w:cs="宋体"/>
                <w:szCs w:val="21"/>
              </w:rPr>
            </w:pPr>
            <w:r>
              <w:rPr>
                <w:rFonts w:hint="eastAsia" w:ascii="宋体" w:hAnsi="宋体" w:cs="宋体"/>
                <w:szCs w:val="21"/>
              </w:rPr>
              <w:t>100</w:t>
            </w:r>
          </w:p>
        </w:tc>
      </w:tr>
    </w:tbl>
    <w:p w14:paraId="49CD90F5">
      <w:pPr>
        <w:pStyle w:val="9"/>
      </w:pPr>
    </w:p>
    <w:p w14:paraId="04833C5F">
      <w:pPr>
        <w:pStyle w:val="9"/>
      </w:pPr>
    </w:p>
    <w:p w14:paraId="1D6141C6">
      <w:pPr>
        <w:pStyle w:val="9"/>
      </w:pPr>
    </w:p>
    <w:p w14:paraId="479103D0">
      <w:pPr>
        <w:pStyle w:val="9"/>
      </w:pPr>
    </w:p>
    <w:p w14:paraId="11ACD8DF">
      <w:pPr>
        <w:pStyle w:val="9"/>
      </w:pPr>
    </w:p>
    <w:p w14:paraId="32F9C9DC">
      <w:pPr>
        <w:pStyle w:val="9"/>
      </w:pPr>
    </w:p>
    <w:p w14:paraId="4FBBBD3F">
      <w:pPr>
        <w:tabs>
          <w:tab w:val="left" w:pos="3770"/>
        </w:tabs>
        <w:bidi w:val="0"/>
        <w:jc w:val="left"/>
        <w:rPr>
          <w:rFonts w:hint="eastAsia"/>
          <w:lang w:eastAsia="zh-CN"/>
        </w:rPr>
      </w:pPr>
      <w:bookmarkStart w:id="0" w:name="_GoBack"/>
      <w:bookmarkEnd w:id="0"/>
    </w:p>
    <w:p w14:paraId="22AC1CD5">
      <w:pPr>
        <w:tabs>
          <w:tab w:val="left" w:pos="3770"/>
        </w:tabs>
        <w:bidi w:val="0"/>
        <w:jc w:val="left"/>
        <w:rPr>
          <w:rFonts w:hint="eastAsia"/>
          <w:lang w:eastAsia="zh-CN"/>
        </w:rPr>
      </w:pPr>
    </w:p>
    <w:p w14:paraId="54B5953D">
      <w:pPr>
        <w:tabs>
          <w:tab w:val="left" w:pos="3770"/>
        </w:tabs>
        <w:bidi w:val="0"/>
        <w:jc w:val="left"/>
        <w:rPr>
          <w:rFonts w:hint="eastAsia"/>
          <w:lang w:eastAsia="zh-CN"/>
        </w:rPr>
      </w:pPr>
    </w:p>
    <w:p w14:paraId="6B63FFDE">
      <w:pPr>
        <w:pStyle w:val="9"/>
        <w:rPr>
          <w:rFonts w:hint="eastAsia"/>
          <w:lang w:eastAsia="zh-CN"/>
        </w:rPr>
      </w:pPr>
    </w:p>
    <w:p w14:paraId="22E727E2">
      <w:pPr>
        <w:pStyle w:val="9"/>
        <w:ind w:firstLine="4200" w:firstLineChars="1500"/>
        <w:rPr>
          <w:rFonts w:hint="eastAsia"/>
          <w:lang w:eastAsia="zh-CN"/>
        </w:rPr>
      </w:pPr>
      <w:r>
        <w:rPr>
          <w:rFonts w:hint="eastAsia"/>
          <w:lang w:val="en-US" w:eastAsia="zh-CN"/>
        </w:rPr>
        <w:t xml:space="preserve">  </w:t>
      </w:r>
    </w:p>
    <w:sectPr>
      <w:headerReference r:id="rId3" w:type="default"/>
      <w:footerReference r:id="rId4" w:type="default"/>
      <w:pgSz w:w="11906" w:h="16838"/>
      <w:pgMar w:top="1247" w:right="1133" w:bottom="1247" w:left="1797" w:header="851" w:footer="992" w:gutter="0"/>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Arial Unicode MS">
    <w:altName w:val="宋体"/>
    <w:panose1 w:val="020B0604020202020204"/>
    <w:charset w:val="86"/>
    <w:family w:val="roman"/>
    <w:pitch w:val="default"/>
    <w:sig w:usb0="00000000" w:usb1="00000000" w:usb2="0000003F" w:usb3="00000000" w:csb0="603F01FF" w:csb1="FFFF0000"/>
  </w:font>
  <w:font w:name="方正小标宋简体">
    <w:panose1 w:val="03000509000000000000"/>
    <w:charset w:val="86"/>
    <w:family w:val="auto"/>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ˎ̥">
    <w:altName w:val="Times New Roman"/>
    <w:panose1 w:val="00000000000000000000"/>
    <w:charset w:val="00"/>
    <w:family w:val="roman"/>
    <w:pitch w:val="default"/>
    <w:sig w:usb0="00000000" w:usb1="00000000" w:usb2="00000000"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7729200"/>
    </w:sdtPr>
    <w:sdtContent>
      <w:p w14:paraId="41F1D898">
        <w:pPr>
          <w:pStyle w:val="10"/>
          <w:jc w:val="center"/>
        </w:pPr>
        <w:r>
          <w:fldChar w:fldCharType="begin"/>
        </w:r>
        <w:r>
          <w:instrText xml:space="preserve"> PAGE   \* MERGEFORMAT </w:instrText>
        </w:r>
        <w:r>
          <w:fldChar w:fldCharType="separate"/>
        </w:r>
        <w:r>
          <w:rPr>
            <w:lang w:val="zh-CN"/>
          </w:rPr>
          <w:t>7</w:t>
        </w:r>
        <w:r>
          <w:rPr>
            <w:lang w:val="zh-CN"/>
          </w:rPr>
          <w:fldChar w:fldCharType="end"/>
        </w:r>
      </w:p>
    </w:sdtContent>
  </w:sdt>
  <w:p w14:paraId="3D5ABCD3">
    <w:pPr>
      <w:pStyle w:val="1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tbl>
    <w:tblPr>
      <w:tblStyle w:val="16"/>
      <w:tblW w:w="0" w:type="auto"/>
      <w:tblInd w:w="10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976"/>
    </w:tblGrid>
    <w:tr w14:paraId="5EE09C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4" w:hRule="atLeast"/>
      </w:trPr>
      <w:tc>
        <w:tcPr>
          <w:tcW w:w="8976" w:type="dxa"/>
          <w:noWrap w:val="0"/>
          <w:vAlign w:val="top"/>
        </w:tcPr>
        <w:p w14:paraId="19F14CAE">
          <w:pPr>
            <w:pStyle w:val="11"/>
            <w:pBdr>
              <w:bottom w:val="none" w:color="auto" w:sz="0" w:space="0"/>
            </w:pBdr>
            <w:jc w:val="left"/>
            <w:rPr>
              <w:rFonts w:hint="eastAsia"/>
              <w:b/>
              <w:sz w:val="28"/>
            </w:rPr>
          </w:pPr>
          <w:r>
            <w:rPr>
              <w:rFonts w:hint="eastAsia"/>
              <w:b/>
              <w:sz w:val="28"/>
            </w:rPr>
            <w:t>科室民主管理小组每页签字：</w:t>
          </w:r>
        </w:p>
        <w:p w14:paraId="4FFA7329">
          <w:pPr>
            <w:pStyle w:val="11"/>
            <w:pBdr>
              <w:bottom w:val="none" w:color="auto" w:sz="0" w:space="0"/>
            </w:pBdr>
            <w:jc w:val="left"/>
            <w:rPr>
              <w:rFonts w:hint="eastAsia"/>
              <w:b/>
              <w:sz w:val="28"/>
            </w:rPr>
          </w:pPr>
        </w:p>
        <w:p w14:paraId="185248ED">
          <w:pPr>
            <w:pStyle w:val="11"/>
            <w:pBdr>
              <w:bottom w:val="none" w:color="auto" w:sz="0" w:space="0"/>
            </w:pBdr>
            <w:jc w:val="left"/>
            <w:rPr>
              <w:rFonts w:hint="eastAsia"/>
              <w:b/>
              <w:sz w:val="28"/>
            </w:rPr>
          </w:pPr>
        </w:p>
        <w:p w14:paraId="53C4A77A">
          <w:pPr>
            <w:pStyle w:val="11"/>
            <w:pBdr>
              <w:bottom w:val="none" w:color="auto" w:sz="0" w:space="0"/>
            </w:pBdr>
            <w:jc w:val="left"/>
            <w:rPr>
              <w:b/>
            </w:rPr>
          </w:pPr>
          <w:r>
            <w:rPr>
              <w:rFonts w:hint="eastAsia"/>
              <w:b/>
              <w:sz w:val="28"/>
            </w:rPr>
            <w:t xml:space="preserve">                                          日期：</w:t>
          </w:r>
        </w:p>
      </w:tc>
    </w:tr>
  </w:tbl>
  <w:p w14:paraId="0A66C81B">
    <w:pPr>
      <w:pStyle w:val="11"/>
      <w:jc w:val="both"/>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6294DEB"/>
    <w:multiLevelType w:val="multilevel"/>
    <w:tmpl w:val="16294DEB"/>
    <w:lvl w:ilvl="0" w:tentative="0">
      <w:start w:val="1"/>
      <w:numFmt w:val="decimal"/>
      <w:lvlText w:val="%1."/>
      <w:lvlJc w:val="left"/>
      <w:pPr>
        <w:tabs>
          <w:tab w:val="left" w:pos="425"/>
        </w:tabs>
        <w:ind w:left="425" w:hanging="425"/>
      </w:pPr>
      <w:rPr>
        <w:rFonts w:hint="default"/>
      </w:rPr>
    </w:lvl>
    <w:lvl w:ilvl="1" w:tentative="0">
      <w:start w:val="1"/>
      <w:numFmt w:val="decimal"/>
      <w:lvlText w:val="%1.%2."/>
      <w:lvlJc w:val="left"/>
      <w:pPr>
        <w:tabs>
          <w:tab w:val="left" w:pos="567"/>
        </w:tabs>
        <w:ind w:left="567" w:hanging="567"/>
      </w:pPr>
      <w:rPr>
        <w:rFonts w:hint="default" w:ascii="Times New Roman" w:hAnsi="Times New Roman" w:cs="Times New Roman"/>
      </w:rPr>
    </w:lvl>
    <w:lvl w:ilvl="2" w:tentative="0">
      <w:start w:val="1"/>
      <w:numFmt w:val="decimal"/>
      <w:lvlText w:val="%1.%2.%3."/>
      <w:lvlJc w:val="left"/>
      <w:pPr>
        <w:tabs>
          <w:tab w:val="left" w:pos="709"/>
        </w:tabs>
        <w:ind w:left="709" w:hanging="709"/>
      </w:pPr>
      <w:rPr>
        <w:rFonts w:hint="default" w:ascii="Times New Roman" w:hAnsi="Times New Roman" w:cs="Times New Roman"/>
      </w:rPr>
    </w:lvl>
    <w:lvl w:ilvl="3" w:tentative="0">
      <w:start w:val="1"/>
      <w:numFmt w:val="decimal"/>
      <w:lvlText w:val="%1.%2.%3.%4."/>
      <w:lvlJc w:val="left"/>
      <w:pPr>
        <w:tabs>
          <w:tab w:val="left" w:pos="851"/>
        </w:tabs>
        <w:ind w:left="851" w:hanging="851"/>
      </w:pPr>
      <w:rPr>
        <w:rFonts w:hint="default" w:ascii="Times New Roman" w:hAnsi="Times New Roman" w:cs="Times New Roman"/>
      </w:rPr>
    </w:lvl>
    <w:lvl w:ilvl="4" w:tentative="0">
      <w:start w:val="1"/>
      <w:numFmt w:val="decimal"/>
      <w:lvlText w:val="%1.%2.%3.%4.%5."/>
      <w:lvlJc w:val="left"/>
      <w:pPr>
        <w:tabs>
          <w:tab w:val="left" w:pos="992"/>
        </w:tabs>
        <w:ind w:left="992" w:hanging="992"/>
      </w:pPr>
      <w:rPr>
        <w:rFonts w:hint="default" w:ascii="Times New Roman" w:hAnsi="Times New Roman" w:cs="Times New Roman"/>
      </w:rPr>
    </w:lvl>
    <w:lvl w:ilvl="5" w:tentative="0">
      <w:start w:val="1"/>
      <w:numFmt w:val="decimal"/>
      <w:lvlText w:val="%1.%2.%3.%4.%5.%6."/>
      <w:lvlJc w:val="left"/>
      <w:pPr>
        <w:tabs>
          <w:tab w:val="left" w:pos="1134"/>
        </w:tabs>
        <w:ind w:left="1134" w:hanging="1134"/>
      </w:pPr>
      <w:rPr>
        <w:rFonts w:hint="default" w:ascii="Times New Roman" w:hAnsi="Times New Roman" w:cs="Times New Roman"/>
      </w:rPr>
    </w:lvl>
    <w:lvl w:ilvl="6" w:tentative="0">
      <w:start w:val="1"/>
      <w:numFmt w:val="decimal"/>
      <w:lvlText w:val="%1.%2.%3.%4.%5.%6.%7."/>
      <w:lvlJc w:val="left"/>
      <w:pPr>
        <w:tabs>
          <w:tab w:val="left" w:pos="1276"/>
        </w:tabs>
        <w:ind w:left="1276" w:hanging="1276"/>
      </w:pPr>
      <w:rPr>
        <w:rFonts w:hint="default" w:ascii="Times New Roman" w:hAnsi="Times New Roman" w:cs="Times New Roman"/>
      </w:rPr>
    </w:lvl>
    <w:lvl w:ilvl="7" w:tentative="0">
      <w:start w:val="1"/>
      <w:numFmt w:val="decimal"/>
      <w:lvlText w:val="%1.%2.%3.%4.%5.%6.%7.%8."/>
      <w:lvlJc w:val="left"/>
      <w:pPr>
        <w:tabs>
          <w:tab w:val="left" w:pos="1418"/>
        </w:tabs>
        <w:ind w:left="1418" w:hanging="1418"/>
      </w:pPr>
      <w:rPr>
        <w:rFonts w:hint="default" w:ascii="Times New Roman" w:hAnsi="Times New Roman" w:cs="Times New Roman"/>
      </w:rPr>
    </w:lvl>
    <w:lvl w:ilvl="8" w:tentative="0">
      <w:start w:val="1"/>
      <w:numFmt w:val="decimal"/>
      <w:lvlText w:val="%1.%2.%3.%4.%5.%6.%7.%8.%9."/>
      <w:lvlJc w:val="left"/>
      <w:pPr>
        <w:tabs>
          <w:tab w:val="left" w:pos="1559"/>
        </w:tabs>
        <w:ind w:left="1559" w:hanging="1559"/>
      </w:pPr>
      <w:rPr>
        <w:rFonts w:hint="default" w:ascii="Times New Roman" w:hAnsi="Times New Roman" w:cs="Times New Roman"/>
      </w:rPr>
    </w:lvl>
  </w:abstractNum>
  <w:abstractNum w:abstractNumId="1">
    <w:nsid w:val="1CF63C98"/>
    <w:multiLevelType w:val="multilevel"/>
    <w:tmpl w:val="1CF63C98"/>
    <w:lvl w:ilvl="0" w:tentative="0">
      <w:start w:val="1"/>
      <w:numFmt w:val="decimal"/>
      <w:lvlText w:val="%1)"/>
      <w:lvlJc w:val="left"/>
      <w:pPr>
        <w:tabs>
          <w:tab w:val="left" w:pos="840"/>
        </w:tabs>
        <w:ind w:left="840" w:hanging="420"/>
      </w:pPr>
      <w:rPr>
        <w:rFonts w:hint="default"/>
      </w:rPr>
    </w:lvl>
    <w:lvl w:ilvl="1" w:tentative="0">
      <w:start w:val="1"/>
      <w:numFmt w:val="lowerLetter"/>
      <w:lvlText w:val="%2)"/>
      <w:lvlJc w:val="left"/>
      <w:pPr>
        <w:tabs>
          <w:tab w:val="left" w:pos="1260"/>
        </w:tabs>
        <w:ind w:left="1260" w:hanging="420"/>
      </w:pPr>
      <w:rPr>
        <w:rFonts w:hint="default" w:ascii="Times New Roman" w:hAnsi="Times New Roman" w:cs="Times New Roman"/>
      </w:rPr>
    </w:lvl>
    <w:lvl w:ilvl="2" w:tentative="0">
      <w:start w:val="1"/>
      <w:numFmt w:val="lowerRoman"/>
      <w:lvlText w:val="%3."/>
      <w:lvlJc w:val="right"/>
      <w:pPr>
        <w:tabs>
          <w:tab w:val="left" w:pos="1680"/>
        </w:tabs>
        <w:ind w:left="1680" w:hanging="420"/>
      </w:pPr>
      <w:rPr>
        <w:rFonts w:hint="default" w:ascii="Times New Roman" w:hAnsi="Times New Roman" w:cs="Times New Roman"/>
      </w:rPr>
    </w:lvl>
    <w:lvl w:ilvl="3" w:tentative="0">
      <w:start w:val="1"/>
      <w:numFmt w:val="decimal"/>
      <w:lvlText w:val="%4."/>
      <w:lvlJc w:val="left"/>
      <w:pPr>
        <w:tabs>
          <w:tab w:val="left" w:pos="2100"/>
        </w:tabs>
        <w:ind w:left="2100" w:hanging="420"/>
      </w:pPr>
      <w:rPr>
        <w:rFonts w:hint="default" w:ascii="Times New Roman" w:hAnsi="Times New Roman" w:cs="Times New Roman"/>
      </w:rPr>
    </w:lvl>
    <w:lvl w:ilvl="4" w:tentative="0">
      <w:start w:val="1"/>
      <w:numFmt w:val="lowerLetter"/>
      <w:lvlText w:val="%5)"/>
      <w:lvlJc w:val="left"/>
      <w:pPr>
        <w:tabs>
          <w:tab w:val="left" w:pos="2520"/>
        </w:tabs>
        <w:ind w:left="2520" w:hanging="420"/>
      </w:pPr>
      <w:rPr>
        <w:rFonts w:hint="default" w:ascii="Times New Roman" w:hAnsi="Times New Roman" w:cs="Times New Roman"/>
      </w:rPr>
    </w:lvl>
    <w:lvl w:ilvl="5" w:tentative="0">
      <w:start w:val="1"/>
      <w:numFmt w:val="lowerRoman"/>
      <w:lvlText w:val="%6."/>
      <w:lvlJc w:val="right"/>
      <w:pPr>
        <w:tabs>
          <w:tab w:val="left" w:pos="2940"/>
        </w:tabs>
        <w:ind w:left="2940" w:hanging="420"/>
      </w:pPr>
      <w:rPr>
        <w:rFonts w:hint="default" w:ascii="Times New Roman" w:hAnsi="Times New Roman" w:cs="Times New Roman"/>
      </w:rPr>
    </w:lvl>
    <w:lvl w:ilvl="6" w:tentative="0">
      <w:start w:val="1"/>
      <w:numFmt w:val="decimal"/>
      <w:lvlText w:val="%7."/>
      <w:lvlJc w:val="left"/>
      <w:pPr>
        <w:tabs>
          <w:tab w:val="left" w:pos="3360"/>
        </w:tabs>
        <w:ind w:left="3360" w:hanging="420"/>
      </w:pPr>
      <w:rPr>
        <w:rFonts w:hint="default" w:ascii="Times New Roman" w:hAnsi="Times New Roman" w:cs="Times New Roman"/>
      </w:rPr>
    </w:lvl>
    <w:lvl w:ilvl="7" w:tentative="0">
      <w:start w:val="1"/>
      <w:numFmt w:val="lowerLetter"/>
      <w:lvlText w:val="%8)"/>
      <w:lvlJc w:val="left"/>
      <w:pPr>
        <w:tabs>
          <w:tab w:val="left" w:pos="3780"/>
        </w:tabs>
        <w:ind w:left="3780" w:hanging="420"/>
      </w:pPr>
      <w:rPr>
        <w:rFonts w:hint="default" w:ascii="Times New Roman" w:hAnsi="Times New Roman" w:cs="Times New Roman"/>
      </w:rPr>
    </w:lvl>
    <w:lvl w:ilvl="8" w:tentative="0">
      <w:start w:val="1"/>
      <w:numFmt w:val="lowerRoman"/>
      <w:lvlText w:val="%9."/>
      <w:lvlJc w:val="right"/>
      <w:pPr>
        <w:tabs>
          <w:tab w:val="left" w:pos="4200"/>
        </w:tabs>
        <w:ind w:left="4200" w:hanging="420"/>
      </w:pPr>
      <w:rPr>
        <w:rFonts w:hint="default" w:ascii="Times New Roman" w:hAnsi="Times New Roman" w:cs="Times New Roman"/>
      </w:rPr>
    </w:lvl>
  </w:abstractNum>
  <w:abstractNum w:abstractNumId="2">
    <w:nsid w:val="24714A5A"/>
    <w:multiLevelType w:val="multilevel"/>
    <w:tmpl w:val="24714A5A"/>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61623B4C"/>
    <w:multiLevelType w:val="multilevel"/>
    <w:tmpl w:val="61623B4C"/>
    <w:lvl w:ilvl="0" w:tentative="0">
      <w:start w:val="1"/>
      <w:numFmt w:val="decimal"/>
      <w:lvlText w:val="%1)"/>
      <w:lvlJc w:val="left"/>
      <w:pPr>
        <w:tabs>
          <w:tab w:val="left" w:pos="840"/>
        </w:tabs>
        <w:ind w:left="840" w:hanging="420"/>
      </w:pPr>
      <w:rPr>
        <w:rFonts w:hint="default"/>
      </w:rPr>
    </w:lvl>
    <w:lvl w:ilvl="1" w:tentative="0">
      <w:start w:val="1"/>
      <w:numFmt w:val="lowerLetter"/>
      <w:lvlText w:val="%2)"/>
      <w:lvlJc w:val="left"/>
      <w:pPr>
        <w:tabs>
          <w:tab w:val="left" w:pos="1260"/>
        </w:tabs>
        <w:ind w:left="1260" w:hanging="420"/>
      </w:pPr>
      <w:rPr>
        <w:rFonts w:hint="default" w:ascii="Times New Roman" w:hAnsi="Times New Roman" w:cs="Times New Roman"/>
      </w:rPr>
    </w:lvl>
    <w:lvl w:ilvl="2" w:tentative="0">
      <w:start w:val="1"/>
      <w:numFmt w:val="lowerRoman"/>
      <w:lvlText w:val="%3."/>
      <w:lvlJc w:val="right"/>
      <w:pPr>
        <w:tabs>
          <w:tab w:val="left" w:pos="1680"/>
        </w:tabs>
        <w:ind w:left="1680" w:hanging="420"/>
      </w:pPr>
      <w:rPr>
        <w:rFonts w:hint="default" w:ascii="Times New Roman" w:hAnsi="Times New Roman" w:cs="Times New Roman"/>
      </w:rPr>
    </w:lvl>
    <w:lvl w:ilvl="3" w:tentative="0">
      <w:start w:val="1"/>
      <w:numFmt w:val="decimal"/>
      <w:lvlText w:val="%4."/>
      <w:lvlJc w:val="left"/>
      <w:pPr>
        <w:tabs>
          <w:tab w:val="left" w:pos="2100"/>
        </w:tabs>
        <w:ind w:left="2100" w:hanging="420"/>
      </w:pPr>
      <w:rPr>
        <w:rFonts w:hint="default" w:ascii="Times New Roman" w:hAnsi="Times New Roman" w:cs="Times New Roman"/>
      </w:rPr>
    </w:lvl>
    <w:lvl w:ilvl="4" w:tentative="0">
      <w:start w:val="1"/>
      <w:numFmt w:val="lowerLetter"/>
      <w:lvlText w:val="%5)"/>
      <w:lvlJc w:val="left"/>
      <w:pPr>
        <w:tabs>
          <w:tab w:val="left" w:pos="2520"/>
        </w:tabs>
        <w:ind w:left="2520" w:hanging="420"/>
      </w:pPr>
      <w:rPr>
        <w:rFonts w:hint="default" w:ascii="Times New Roman" w:hAnsi="Times New Roman" w:cs="Times New Roman"/>
      </w:rPr>
    </w:lvl>
    <w:lvl w:ilvl="5" w:tentative="0">
      <w:start w:val="1"/>
      <w:numFmt w:val="lowerRoman"/>
      <w:lvlText w:val="%6."/>
      <w:lvlJc w:val="right"/>
      <w:pPr>
        <w:tabs>
          <w:tab w:val="left" w:pos="2940"/>
        </w:tabs>
        <w:ind w:left="2940" w:hanging="420"/>
      </w:pPr>
      <w:rPr>
        <w:rFonts w:hint="default" w:ascii="Times New Roman" w:hAnsi="Times New Roman" w:cs="Times New Roman"/>
      </w:rPr>
    </w:lvl>
    <w:lvl w:ilvl="6" w:tentative="0">
      <w:start w:val="1"/>
      <w:numFmt w:val="decimal"/>
      <w:lvlText w:val="%7."/>
      <w:lvlJc w:val="left"/>
      <w:pPr>
        <w:tabs>
          <w:tab w:val="left" w:pos="3360"/>
        </w:tabs>
        <w:ind w:left="3360" w:hanging="420"/>
      </w:pPr>
      <w:rPr>
        <w:rFonts w:hint="default" w:ascii="Times New Roman" w:hAnsi="Times New Roman" w:cs="Times New Roman"/>
      </w:rPr>
    </w:lvl>
    <w:lvl w:ilvl="7" w:tentative="0">
      <w:start w:val="1"/>
      <w:numFmt w:val="lowerLetter"/>
      <w:lvlText w:val="%8)"/>
      <w:lvlJc w:val="left"/>
      <w:pPr>
        <w:tabs>
          <w:tab w:val="left" w:pos="3780"/>
        </w:tabs>
        <w:ind w:left="3780" w:hanging="420"/>
      </w:pPr>
      <w:rPr>
        <w:rFonts w:hint="default" w:ascii="Times New Roman" w:hAnsi="Times New Roman" w:cs="Times New Roman"/>
      </w:rPr>
    </w:lvl>
    <w:lvl w:ilvl="8" w:tentative="0">
      <w:start w:val="1"/>
      <w:numFmt w:val="lowerRoman"/>
      <w:lvlText w:val="%9."/>
      <w:lvlJc w:val="right"/>
      <w:pPr>
        <w:tabs>
          <w:tab w:val="left" w:pos="4200"/>
        </w:tabs>
        <w:ind w:left="4200" w:hanging="420"/>
      </w:pPr>
      <w:rPr>
        <w:rFonts w:hint="default" w:ascii="Times New Roman" w:hAnsi="Times New Roman" w:cs="Times New Roman"/>
      </w:rPr>
    </w:lvl>
  </w:abstractNum>
  <w:abstractNum w:abstractNumId="4">
    <w:nsid w:val="7C2D25F0"/>
    <w:multiLevelType w:val="multilevel"/>
    <w:tmpl w:val="7C2D25F0"/>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3"/>
  </w:num>
  <w:num w:numId="3">
    <w:abstractNumId w:val="1"/>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kyNzRlNDQ3YmEwZWE4OTg2OWRmYWExYjU3OGQ2ODYifQ=="/>
  </w:docVars>
  <w:rsids>
    <w:rsidRoot w:val="00172A27"/>
    <w:rsid w:val="00172A27"/>
    <w:rsid w:val="001A25EB"/>
    <w:rsid w:val="002E0B29"/>
    <w:rsid w:val="00325B4E"/>
    <w:rsid w:val="003B1DCD"/>
    <w:rsid w:val="003E5433"/>
    <w:rsid w:val="00413989"/>
    <w:rsid w:val="004B53DC"/>
    <w:rsid w:val="00553EFE"/>
    <w:rsid w:val="005E1F3C"/>
    <w:rsid w:val="005E2CE0"/>
    <w:rsid w:val="005E3207"/>
    <w:rsid w:val="005E73F3"/>
    <w:rsid w:val="00613347"/>
    <w:rsid w:val="00641368"/>
    <w:rsid w:val="00692A53"/>
    <w:rsid w:val="006A0829"/>
    <w:rsid w:val="007030BF"/>
    <w:rsid w:val="007622EC"/>
    <w:rsid w:val="007738D3"/>
    <w:rsid w:val="007F5D55"/>
    <w:rsid w:val="008620AC"/>
    <w:rsid w:val="008D00B2"/>
    <w:rsid w:val="008E7C61"/>
    <w:rsid w:val="009E1785"/>
    <w:rsid w:val="009F790F"/>
    <w:rsid w:val="00B35838"/>
    <w:rsid w:val="00DF4236"/>
    <w:rsid w:val="00E83052"/>
    <w:rsid w:val="00E967E2"/>
    <w:rsid w:val="00E96B89"/>
    <w:rsid w:val="00EE206A"/>
    <w:rsid w:val="00F035C8"/>
    <w:rsid w:val="00FA432C"/>
    <w:rsid w:val="011B32E0"/>
    <w:rsid w:val="01DE34BB"/>
    <w:rsid w:val="02801C57"/>
    <w:rsid w:val="040F7B39"/>
    <w:rsid w:val="04CE1F73"/>
    <w:rsid w:val="05012B32"/>
    <w:rsid w:val="051D75E1"/>
    <w:rsid w:val="05273E70"/>
    <w:rsid w:val="05921E22"/>
    <w:rsid w:val="05DE6423"/>
    <w:rsid w:val="067708FD"/>
    <w:rsid w:val="06BE39D9"/>
    <w:rsid w:val="0704485D"/>
    <w:rsid w:val="072B60D8"/>
    <w:rsid w:val="07310D05"/>
    <w:rsid w:val="07A02679"/>
    <w:rsid w:val="07B915AC"/>
    <w:rsid w:val="07C178CB"/>
    <w:rsid w:val="082F6A38"/>
    <w:rsid w:val="09EF6784"/>
    <w:rsid w:val="0B6A64D6"/>
    <w:rsid w:val="0BAE3A46"/>
    <w:rsid w:val="0C4614E4"/>
    <w:rsid w:val="0D280BCD"/>
    <w:rsid w:val="0D893C76"/>
    <w:rsid w:val="0DED5ABC"/>
    <w:rsid w:val="0EBA007C"/>
    <w:rsid w:val="0F6872F4"/>
    <w:rsid w:val="0FDF3497"/>
    <w:rsid w:val="0FFF53C6"/>
    <w:rsid w:val="10262412"/>
    <w:rsid w:val="108D0175"/>
    <w:rsid w:val="10F373B4"/>
    <w:rsid w:val="110474D6"/>
    <w:rsid w:val="11237D7F"/>
    <w:rsid w:val="1187303D"/>
    <w:rsid w:val="119809CA"/>
    <w:rsid w:val="12331AC2"/>
    <w:rsid w:val="12B80323"/>
    <w:rsid w:val="13052443"/>
    <w:rsid w:val="132D5E57"/>
    <w:rsid w:val="13886434"/>
    <w:rsid w:val="13A10F7E"/>
    <w:rsid w:val="145002FA"/>
    <w:rsid w:val="15990E90"/>
    <w:rsid w:val="15B10891"/>
    <w:rsid w:val="15BB15B5"/>
    <w:rsid w:val="16A97510"/>
    <w:rsid w:val="1721739A"/>
    <w:rsid w:val="17714346"/>
    <w:rsid w:val="18CE3099"/>
    <w:rsid w:val="191E3DD6"/>
    <w:rsid w:val="19685B09"/>
    <w:rsid w:val="1A3100CD"/>
    <w:rsid w:val="1A5737E1"/>
    <w:rsid w:val="1A9D002E"/>
    <w:rsid w:val="1B49208B"/>
    <w:rsid w:val="1D1A560A"/>
    <w:rsid w:val="1D4569B7"/>
    <w:rsid w:val="1D5E475C"/>
    <w:rsid w:val="1ECC2689"/>
    <w:rsid w:val="1ED3069A"/>
    <w:rsid w:val="1FC21AF3"/>
    <w:rsid w:val="201A11BB"/>
    <w:rsid w:val="201B0077"/>
    <w:rsid w:val="20926CAB"/>
    <w:rsid w:val="20BD5F9F"/>
    <w:rsid w:val="21C319BD"/>
    <w:rsid w:val="225E5CFF"/>
    <w:rsid w:val="228322EA"/>
    <w:rsid w:val="22FF23D3"/>
    <w:rsid w:val="230D14E7"/>
    <w:rsid w:val="248A5117"/>
    <w:rsid w:val="24A872D3"/>
    <w:rsid w:val="2577413D"/>
    <w:rsid w:val="25CE197B"/>
    <w:rsid w:val="25EF6C54"/>
    <w:rsid w:val="267274AD"/>
    <w:rsid w:val="27441EF5"/>
    <w:rsid w:val="284F0D34"/>
    <w:rsid w:val="28750DBE"/>
    <w:rsid w:val="28F87B6B"/>
    <w:rsid w:val="29295EFB"/>
    <w:rsid w:val="29F05E17"/>
    <w:rsid w:val="2A7C54E2"/>
    <w:rsid w:val="2D1F2B7C"/>
    <w:rsid w:val="2D834187"/>
    <w:rsid w:val="2D842E64"/>
    <w:rsid w:val="2D884E7D"/>
    <w:rsid w:val="2ED75B7E"/>
    <w:rsid w:val="2F7F1232"/>
    <w:rsid w:val="30204B81"/>
    <w:rsid w:val="30724EC2"/>
    <w:rsid w:val="3171243C"/>
    <w:rsid w:val="31EC2DB8"/>
    <w:rsid w:val="31F05FB9"/>
    <w:rsid w:val="328E2D0D"/>
    <w:rsid w:val="32F3562F"/>
    <w:rsid w:val="33824F75"/>
    <w:rsid w:val="33C15212"/>
    <w:rsid w:val="34733E19"/>
    <w:rsid w:val="347B44CF"/>
    <w:rsid w:val="34F26A38"/>
    <w:rsid w:val="361F082C"/>
    <w:rsid w:val="362B1B69"/>
    <w:rsid w:val="36975EA1"/>
    <w:rsid w:val="38DB45F6"/>
    <w:rsid w:val="39B27C7F"/>
    <w:rsid w:val="3A496DE5"/>
    <w:rsid w:val="3A8974B4"/>
    <w:rsid w:val="3AD51E3B"/>
    <w:rsid w:val="3D663042"/>
    <w:rsid w:val="3EB05C6A"/>
    <w:rsid w:val="3FDB0AC5"/>
    <w:rsid w:val="3FED5BEA"/>
    <w:rsid w:val="4034507A"/>
    <w:rsid w:val="40A2786F"/>
    <w:rsid w:val="40F477B9"/>
    <w:rsid w:val="417F5F74"/>
    <w:rsid w:val="41951E3B"/>
    <w:rsid w:val="425222CB"/>
    <w:rsid w:val="428E5704"/>
    <w:rsid w:val="42F205FF"/>
    <w:rsid w:val="432B1AFF"/>
    <w:rsid w:val="438B3E46"/>
    <w:rsid w:val="43D04E85"/>
    <w:rsid w:val="44EB5754"/>
    <w:rsid w:val="45114517"/>
    <w:rsid w:val="4521010E"/>
    <w:rsid w:val="457E2DDA"/>
    <w:rsid w:val="458B0BDB"/>
    <w:rsid w:val="45CB30E5"/>
    <w:rsid w:val="460436B8"/>
    <w:rsid w:val="462E3AEE"/>
    <w:rsid w:val="471C1984"/>
    <w:rsid w:val="47C25C55"/>
    <w:rsid w:val="480666C9"/>
    <w:rsid w:val="483372FA"/>
    <w:rsid w:val="486A31E5"/>
    <w:rsid w:val="48F23EB0"/>
    <w:rsid w:val="491D4036"/>
    <w:rsid w:val="499D6050"/>
    <w:rsid w:val="4A4B0D34"/>
    <w:rsid w:val="4A5D578D"/>
    <w:rsid w:val="4A81797A"/>
    <w:rsid w:val="4AF52F9F"/>
    <w:rsid w:val="4AFA62C1"/>
    <w:rsid w:val="4B963383"/>
    <w:rsid w:val="4CFA4C80"/>
    <w:rsid w:val="4D277108"/>
    <w:rsid w:val="4D58766E"/>
    <w:rsid w:val="4DAD7A1C"/>
    <w:rsid w:val="4DB27C98"/>
    <w:rsid w:val="4E061E77"/>
    <w:rsid w:val="4E5E07AB"/>
    <w:rsid w:val="4E7B2EA1"/>
    <w:rsid w:val="4EFC6082"/>
    <w:rsid w:val="4F2933E6"/>
    <w:rsid w:val="4F3A2C72"/>
    <w:rsid w:val="4F4F44DD"/>
    <w:rsid w:val="4F733116"/>
    <w:rsid w:val="4F8427E5"/>
    <w:rsid w:val="4FBE7663"/>
    <w:rsid w:val="5029012B"/>
    <w:rsid w:val="505F396D"/>
    <w:rsid w:val="50750359"/>
    <w:rsid w:val="513A1B77"/>
    <w:rsid w:val="5154733A"/>
    <w:rsid w:val="51AC5958"/>
    <w:rsid w:val="52026987"/>
    <w:rsid w:val="524E55B4"/>
    <w:rsid w:val="5353260B"/>
    <w:rsid w:val="53A45B7E"/>
    <w:rsid w:val="54144196"/>
    <w:rsid w:val="5445094C"/>
    <w:rsid w:val="5478492E"/>
    <w:rsid w:val="55B15E93"/>
    <w:rsid w:val="56AE15B9"/>
    <w:rsid w:val="57E1285D"/>
    <w:rsid w:val="587432E0"/>
    <w:rsid w:val="596F6AE7"/>
    <w:rsid w:val="5AC26BB2"/>
    <w:rsid w:val="5ACC7971"/>
    <w:rsid w:val="5B512602"/>
    <w:rsid w:val="5B841EB1"/>
    <w:rsid w:val="5BD624E4"/>
    <w:rsid w:val="5C14628F"/>
    <w:rsid w:val="5D083B1C"/>
    <w:rsid w:val="5D35266F"/>
    <w:rsid w:val="5DC77AA6"/>
    <w:rsid w:val="5E337FF2"/>
    <w:rsid w:val="5FB74208"/>
    <w:rsid w:val="601D41FD"/>
    <w:rsid w:val="60414555"/>
    <w:rsid w:val="6175217B"/>
    <w:rsid w:val="61EE4EB3"/>
    <w:rsid w:val="623A09E6"/>
    <w:rsid w:val="630E2FDF"/>
    <w:rsid w:val="633B6E7C"/>
    <w:rsid w:val="638F148F"/>
    <w:rsid w:val="63AB183E"/>
    <w:rsid w:val="64914DC6"/>
    <w:rsid w:val="65F35668"/>
    <w:rsid w:val="66225EEA"/>
    <w:rsid w:val="667759E5"/>
    <w:rsid w:val="669C21BA"/>
    <w:rsid w:val="674B3506"/>
    <w:rsid w:val="67743916"/>
    <w:rsid w:val="68813010"/>
    <w:rsid w:val="69287E45"/>
    <w:rsid w:val="6936551A"/>
    <w:rsid w:val="6A510C3C"/>
    <w:rsid w:val="6A7503C8"/>
    <w:rsid w:val="6AC00587"/>
    <w:rsid w:val="6B1D67E7"/>
    <w:rsid w:val="6B3E761B"/>
    <w:rsid w:val="6B891918"/>
    <w:rsid w:val="6C3F6A60"/>
    <w:rsid w:val="6D6B663D"/>
    <w:rsid w:val="6DB30AA4"/>
    <w:rsid w:val="6EA522B5"/>
    <w:rsid w:val="6EE679B1"/>
    <w:rsid w:val="6F137F97"/>
    <w:rsid w:val="6F4D2058"/>
    <w:rsid w:val="6F9708A0"/>
    <w:rsid w:val="6FDB5DF3"/>
    <w:rsid w:val="6FE46457"/>
    <w:rsid w:val="6FE87D2C"/>
    <w:rsid w:val="703E5897"/>
    <w:rsid w:val="70564192"/>
    <w:rsid w:val="707B36B7"/>
    <w:rsid w:val="70A62225"/>
    <w:rsid w:val="70C01F52"/>
    <w:rsid w:val="7107517F"/>
    <w:rsid w:val="711A106B"/>
    <w:rsid w:val="71916829"/>
    <w:rsid w:val="719921AA"/>
    <w:rsid w:val="72F26644"/>
    <w:rsid w:val="745914BB"/>
    <w:rsid w:val="75694284"/>
    <w:rsid w:val="75A619C9"/>
    <w:rsid w:val="75E76113"/>
    <w:rsid w:val="761932C0"/>
    <w:rsid w:val="76C662E3"/>
    <w:rsid w:val="76D96D33"/>
    <w:rsid w:val="7917268F"/>
    <w:rsid w:val="79D95BEF"/>
    <w:rsid w:val="7A121D25"/>
    <w:rsid w:val="7A180AC8"/>
    <w:rsid w:val="7A511B5E"/>
    <w:rsid w:val="7CA910FF"/>
    <w:rsid w:val="7D5E6639"/>
    <w:rsid w:val="7E0D2F6A"/>
    <w:rsid w:val="7EFF6FAF"/>
    <w:rsid w:val="7F7B1657"/>
    <w:rsid w:val="7FBB54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qFormat="1"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99"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3"/>
    <w:next w:val="4"/>
    <w:autoRedefine/>
    <w:qFormat/>
    <w:uiPriority w:val="0"/>
    <w:pPr>
      <w:keepNext/>
      <w:keepLines/>
      <w:spacing w:before="260" w:after="260" w:line="416" w:lineRule="auto"/>
      <w:outlineLvl w:val="1"/>
    </w:pPr>
    <w:rPr>
      <w:rFonts w:ascii="Arial" w:hAnsi="Arial" w:eastAsia="黑体"/>
      <w:sz w:val="32"/>
      <w:szCs w:val="32"/>
    </w:rPr>
  </w:style>
  <w:style w:type="paragraph" w:styleId="3">
    <w:name w:val="heading 3"/>
    <w:basedOn w:val="4"/>
    <w:next w:val="1"/>
    <w:link w:val="26"/>
    <w:autoRedefine/>
    <w:semiHidden/>
    <w:unhideWhenUsed/>
    <w:qFormat/>
    <w:uiPriority w:val="0"/>
    <w:pPr>
      <w:keepNext/>
      <w:keepLines/>
      <w:spacing w:before="260" w:after="260" w:line="416" w:lineRule="auto"/>
      <w:outlineLvl w:val="2"/>
    </w:pPr>
    <w:rPr>
      <w:sz w:val="32"/>
      <w:szCs w:val="32"/>
    </w:rPr>
  </w:style>
  <w:style w:type="paragraph" w:styleId="4">
    <w:name w:val="heading 4"/>
    <w:basedOn w:val="1"/>
    <w:next w:val="1"/>
    <w:autoRedefine/>
    <w:qFormat/>
    <w:uiPriority w:val="0"/>
    <w:pPr>
      <w:keepNext/>
      <w:keepLines/>
      <w:spacing w:before="280" w:after="290" w:line="376" w:lineRule="auto"/>
      <w:outlineLvl w:val="3"/>
    </w:pPr>
    <w:rPr>
      <w:rFonts w:ascii="Arial" w:hAnsi="Arial" w:eastAsia="黑体"/>
      <w:b/>
      <w:bCs/>
      <w:kern w:val="0"/>
      <w:sz w:val="28"/>
      <w:szCs w:val="28"/>
    </w:rPr>
  </w:style>
  <w:style w:type="character" w:default="1" w:styleId="17">
    <w:name w:val="Default Paragraph Font"/>
    <w:autoRedefine/>
    <w:semiHidden/>
    <w:unhideWhenUsed/>
    <w:qFormat/>
    <w:uiPriority w:val="1"/>
  </w:style>
  <w:style w:type="table" w:default="1" w:styleId="16">
    <w:name w:val="Normal Table"/>
    <w:autoRedefine/>
    <w:semiHidden/>
    <w:unhideWhenUsed/>
    <w:qFormat/>
    <w:uiPriority w:val="99"/>
    <w:tblPr>
      <w:tblCellMar>
        <w:top w:w="0" w:type="dxa"/>
        <w:left w:w="108" w:type="dxa"/>
        <w:bottom w:w="0" w:type="dxa"/>
        <w:right w:w="108" w:type="dxa"/>
      </w:tblCellMar>
    </w:tblPr>
  </w:style>
  <w:style w:type="paragraph" w:styleId="5">
    <w:name w:val="Normal Indent"/>
    <w:basedOn w:val="1"/>
    <w:autoRedefine/>
    <w:qFormat/>
    <w:uiPriority w:val="0"/>
    <w:pPr>
      <w:ind w:firstLine="420"/>
    </w:pPr>
    <w:rPr>
      <w:rFonts w:ascii="Times New Roman" w:hAnsi="Times New Roman"/>
      <w:kern w:val="0"/>
      <w:sz w:val="20"/>
      <w:szCs w:val="20"/>
    </w:rPr>
  </w:style>
  <w:style w:type="paragraph" w:styleId="6">
    <w:name w:val="annotation text"/>
    <w:basedOn w:val="1"/>
    <w:link w:val="21"/>
    <w:autoRedefine/>
    <w:qFormat/>
    <w:uiPriority w:val="0"/>
    <w:pPr>
      <w:jc w:val="left"/>
    </w:pPr>
    <w:rPr>
      <w:rFonts w:asciiTheme="minorHAnsi" w:hAnsiTheme="minorHAnsi" w:eastAsiaTheme="minorEastAsia" w:cstheme="minorBidi"/>
    </w:rPr>
  </w:style>
  <w:style w:type="paragraph" w:styleId="7">
    <w:name w:val="Body Text"/>
    <w:basedOn w:val="1"/>
    <w:autoRedefine/>
    <w:qFormat/>
    <w:uiPriority w:val="0"/>
    <w:pPr>
      <w:spacing w:after="120"/>
    </w:pPr>
  </w:style>
  <w:style w:type="paragraph" w:styleId="8">
    <w:name w:val="Plain Text"/>
    <w:basedOn w:val="1"/>
    <w:link w:val="24"/>
    <w:autoRedefine/>
    <w:qFormat/>
    <w:uiPriority w:val="0"/>
    <w:rPr>
      <w:rFonts w:ascii="宋体" w:hAnsi="Courier New" w:eastAsiaTheme="minorEastAsia" w:cstheme="minorBidi"/>
      <w:szCs w:val="20"/>
    </w:rPr>
  </w:style>
  <w:style w:type="paragraph" w:styleId="9">
    <w:name w:val="endnote text"/>
    <w:basedOn w:val="1"/>
    <w:autoRedefine/>
    <w:qFormat/>
    <w:uiPriority w:val="0"/>
    <w:pPr>
      <w:snapToGrid w:val="0"/>
      <w:jc w:val="left"/>
    </w:pPr>
    <w:rPr>
      <w:rFonts w:ascii="宋体" w:hAnsi="宋体"/>
      <w:kern w:val="0"/>
      <w:sz w:val="28"/>
    </w:rPr>
  </w:style>
  <w:style w:type="paragraph" w:styleId="10">
    <w:name w:val="footer"/>
    <w:basedOn w:val="1"/>
    <w:autoRedefine/>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11">
    <w:name w:val="header"/>
    <w:basedOn w:val="1"/>
    <w:link w:val="25"/>
    <w:autoRedefine/>
    <w:qFormat/>
    <w:uiPriority w:val="0"/>
    <w:pPr>
      <w:pBdr>
        <w:bottom w:val="single" w:color="auto" w:sz="6" w:space="1"/>
      </w:pBdr>
      <w:tabs>
        <w:tab w:val="center" w:pos="4153"/>
        <w:tab w:val="right" w:pos="8306"/>
      </w:tabs>
      <w:snapToGrid w:val="0"/>
      <w:jc w:val="center"/>
    </w:pPr>
    <w:rPr>
      <w:sz w:val="18"/>
      <w:szCs w:val="18"/>
    </w:rPr>
  </w:style>
  <w:style w:type="paragraph" w:styleId="12">
    <w:name w:val="HTML Preformatted"/>
    <w:basedOn w:val="1"/>
    <w:autoRedefine/>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30" w:lineRule="atLeast"/>
      <w:jc w:val="left"/>
    </w:pPr>
    <w:rPr>
      <w:rFonts w:ascii="Arial" w:hAnsi="Arial"/>
      <w:kern w:val="0"/>
      <w:szCs w:val="21"/>
    </w:rPr>
  </w:style>
  <w:style w:type="paragraph" w:styleId="13">
    <w:name w:val="Normal (Web)"/>
    <w:basedOn w:val="1"/>
    <w:autoRedefine/>
    <w:unhideWhenUsed/>
    <w:qFormat/>
    <w:uiPriority w:val="99"/>
    <w:pPr>
      <w:widowControl/>
      <w:spacing w:before="100" w:beforeAutospacing="1" w:after="100" w:afterAutospacing="1"/>
      <w:jc w:val="left"/>
    </w:pPr>
    <w:rPr>
      <w:rFonts w:ascii="宋体" w:hAnsi="宋体" w:cs="宋体"/>
      <w:kern w:val="0"/>
      <w:sz w:val="24"/>
    </w:rPr>
  </w:style>
  <w:style w:type="paragraph" w:styleId="14">
    <w:name w:val="Title"/>
    <w:basedOn w:val="1"/>
    <w:next w:val="1"/>
    <w:autoRedefine/>
    <w:qFormat/>
    <w:uiPriority w:val="0"/>
    <w:pPr>
      <w:spacing w:before="240" w:after="60"/>
      <w:jc w:val="center"/>
      <w:outlineLvl w:val="0"/>
    </w:pPr>
    <w:rPr>
      <w:rFonts w:ascii="Cambria" w:hAnsi="Cambria"/>
      <w:b/>
      <w:bCs/>
      <w:sz w:val="32"/>
      <w:szCs w:val="32"/>
    </w:rPr>
  </w:style>
  <w:style w:type="paragraph" w:styleId="15">
    <w:name w:val="annotation subject"/>
    <w:basedOn w:val="6"/>
    <w:next w:val="6"/>
    <w:link w:val="22"/>
    <w:autoRedefine/>
    <w:qFormat/>
    <w:uiPriority w:val="0"/>
    <w:rPr>
      <w:rFonts w:ascii="Times New Roman" w:hAnsi="Times New Roman" w:eastAsia="宋体" w:cs="Times New Roman"/>
      <w:b/>
      <w:bCs/>
    </w:rPr>
  </w:style>
  <w:style w:type="character" w:styleId="18">
    <w:name w:val="FollowedHyperlink"/>
    <w:basedOn w:val="17"/>
    <w:autoRedefine/>
    <w:qFormat/>
    <w:uiPriority w:val="0"/>
    <w:rPr>
      <w:rFonts w:hint="eastAsia" w:ascii="黑体" w:hAnsi="宋体" w:eastAsia="黑体" w:cs="黑体"/>
      <w:color w:val="000000"/>
      <w:u w:val="none"/>
    </w:rPr>
  </w:style>
  <w:style w:type="character" w:styleId="19">
    <w:name w:val="Hyperlink"/>
    <w:basedOn w:val="17"/>
    <w:autoRedefine/>
    <w:qFormat/>
    <w:uiPriority w:val="0"/>
    <w:rPr>
      <w:rFonts w:ascii="黑体" w:hAnsi="宋体" w:eastAsia="黑体" w:cs="黑体"/>
      <w:color w:val="000000"/>
      <w:u w:val="none"/>
    </w:rPr>
  </w:style>
  <w:style w:type="character" w:styleId="20">
    <w:name w:val="annotation reference"/>
    <w:basedOn w:val="17"/>
    <w:autoRedefine/>
    <w:qFormat/>
    <w:uiPriority w:val="0"/>
    <w:rPr>
      <w:sz w:val="21"/>
      <w:szCs w:val="21"/>
    </w:rPr>
  </w:style>
  <w:style w:type="character" w:customStyle="1" w:styleId="21">
    <w:name w:val="批注文字 字符"/>
    <w:basedOn w:val="17"/>
    <w:link w:val="6"/>
    <w:autoRedefine/>
    <w:qFormat/>
    <w:uiPriority w:val="0"/>
    <w:rPr>
      <w:rFonts w:asciiTheme="minorHAnsi" w:hAnsiTheme="minorHAnsi" w:eastAsiaTheme="minorEastAsia" w:cstheme="minorBidi"/>
      <w:kern w:val="2"/>
      <w:sz w:val="21"/>
      <w:szCs w:val="24"/>
    </w:rPr>
  </w:style>
  <w:style w:type="character" w:customStyle="1" w:styleId="22">
    <w:name w:val="批注主题 字符"/>
    <w:basedOn w:val="21"/>
    <w:link w:val="15"/>
    <w:autoRedefine/>
    <w:qFormat/>
    <w:uiPriority w:val="0"/>
    <w:rPr>
      <w:rFonts w:asciiTheme="minorHAnsi" w:hAnsiTheme="minorHAnsi" w:eastAsiaTheme="minorEastAsia" w:cstheme="minorBidi"/>
      <w:b/>
      <w:bCs/>
      <w:kern w:val="2"/>
      <w:sz w:val="21"/>
      <w:szCs w:val="24"/>
    </w:rPr>
  </w:style>
  <w:style w:type="character" w:customStyle="1" w:styleId="23">
    <w:name w:val="未处理的提及1"/>
    <w:basedOn w:val="17"/>
    <w:autoRedefine/>
    <w:semiHidden/>
    <w:unhideWhenUsed/>
    <w:qFormat/>
    <w:uiPriority w:val="99"/>
    <w:rPr>
      <w:color w:val="605E5C"/>
      <w:shd w:val="clear" w:color="auto" w:fill="E1DFDD"/>
    </w:rPr>
  </w:style>
  <w:style w:type="character" w:customStyle="1" w:styleId="24">
    <w:name w:val="纯文本 字符"/>
    <w:basedOn w:val="17"/>
    <w:link w:val="8"/>
    <w:autoRedefine/>
    <w:qFormat/>
    <w:uiPriority w:val="0"/>
    <w:rPr>
      <w:rFonts w:ascii="宋体" w:hAnsi="Courier New" w:eastAsiaTheme="minorEastAsia" w:cstheme="minorBidi"/>
      <w:kern w:val="2"/>
      <w:sz w:val="21"/>
    </w:rPr>
  </w:style>
  <w:style w:type="character" w:customStyle="1" w:styleId="25">
    <w:name w:val="页眉 字符"/>
    <w:basedOn w:val="17"/>
    <w:link w:val="11"/>
    <w:autoRedefine/>
    <w:qFormat/>
    <w:uiPriority w:val="0"/>
    <w:rPr>
      <w:kern w:val="2"/>
      <w:sz w:val="18"/>
      <w:szCs w:val="18"/>
    </w:rPr>
  </w:style>
  <w:style w:type="character" w:customStyle="1" w:styleId="26">
    <w:name w:val="标题 3 字符"/>
    <w:basedOn w:val="17"/>
    <w:link w:val="3"/>
    <w:autoRedefine/>
    <w:semiHidden/>
    <w:qFormat/>
    <w:uiPriority w:val="0"/>
    <w:rPr>
      <w:b/>
      <w:bCs/>
      <w:kern w:val="2"/>
      <w:sz w:val="32"/>
      <w:szCs w:val="32"/>
    </w:rPr>
  </w:style>
  <w:style w:type="paragraph" w:styleId="27">
    <w:name w:val="List Paragraph"/>
    <w:basedOn w:val="1"/>
    <w:autoRedefine/>
    <w:qFormat/>
    <w:uiPriority w:val="99"/>
    <w:pPr>
      <w:ind w:firstLine="420" w:firstLineChars="200"/>
    </w:pPr>
  </w:style>
  <w:style w:type="paragraph" w:customStyle="1" w:styleId="28">
    <w:name w:val=".."/>
    <w:basedOn w:val="1"/>
    <w:next w:val="1"/>
    <w:autoRedefine/>
    <w:qFormat/>
    <w:uiPriority w:val="0"/>
    <w:pPr>
      <w:autoSpaceDE w:val="0"/>
      <w:autoSpaceDN w:val="0"/>
      <w:adjustRightInd w:val="0"/>
      <w:jc w:val="left"/>
    </w:pPr>
    <w:rPr>
      <w:rFonts w:ascii="Arial Unicode MS" w:hAnsi="Times New Roman" w:eastAsia="Arial Unicode MS"/>
      <w:kern w:val="0"/>
      <w:sz w:val="24"/>
      <w:szCs w:val="24"/>
    </w:rPr>
  </w:style>
  <w:style w:type="paragraph" w:customStyle="1" w:styleId="29">
    <w:name w:val="列出段落1"/>
    <w:basedOn w:val="1"/>
    <w:autoRedefine/>
    <w:qFormat/>
    <w:uiPriority w:val="34"/>
    <w:pPr>
      <w:ind w:firstLine="420" w:firstLineChars="200"/>
    </w:pPr>
    <w:rPr>
      <w:szCs w:val="24"/>
    </w:rPr>
  </w:style>
  <w:style w:type="paragraph" w:customStyle="1" w:styleId="30">
    <w:name w:val="表格文字"/>
    <w:basedOn w:val="1"/>
    <w:autoRedefine/>
    <w:qFormat/>
    <w:uiPriority w:val="0"/>
    <w:pPr>
      <w:spacing w:before="25" w:after="25" w:line="240" w:lineRule="auto"/>
      <w:ind w:firstLine="0"/>
      <w:jc w:val="left"/>
    </w:pPr>
    <w:rPr>
      <w:bCs/>
      <w:spacing w:val="10"/>
      <w:kern w:val="0"/>
      <w:sz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10</Pages>
  <Words>5689</Words>
  <Characters>5847</Characters>
  <Lines>4</Lines>
  <Paragraphs>10</Paragraphs>
  <TotalTime>98</TotalTime>
  <ScaleCrop>false</ScaleCrop>
  <LinksUpToDate>false</LinksUpToDate>
  <CharactersWithSpaces>5961</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2021-07-30T07:28:00Z</dcterms:created>
  <dc:creator>Administrator</dc:creator>
  <cp:lastModifiedBy>胡俊</cp:lastModifiedBy>
  <dcterms:modified xsi:type="dcterms:W3CDTF">2025-07-17T00:51:29Z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3DFCA6F982F84E0BB7B4F86A2EEE4B7C_13</vt:lpwstr>
  </property>
  <property fmtid="{D5CDD505-2E9C-101B-9397-08002B2CF9AE}" pid="4" name="KSOTemplateDocerSaveRecord">
    <vt:lpwstr>eyJoZGlkIjoiMjQ1OWIzOTVlMWY1ZTMyODIyNmQ4NzJlNDcxYjA4MzkiLCJ1c2VySWQiOiIzMjM3Mzk1NzQifQ==</vt:lpwstr>
  </property>
</Properties>
</file>