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9FAF9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药物导入仪参数</w:t>
      </w:r>
    </w:p>
    <w:tbl>
      <w:tblPr>
        <w:tblStyle w:val="3"/>
        <w:tblpPr w:leftFromText="180" w:rightFromText="180" w:vertAnchor="text" w:horzAnchor="page" w:tblpX="1357" w:tblpY="1143"/>
        <w:tblOverlap w:val="never"/>
        <w:tblW w:w="8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9"/>
      </w:tblGrid>
      <w:tr w14:paraId="5B3F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9550B">
            <w:pPr>
              <w:pStyle w:val="2"/>
              <w:spacing w:before="28" w:line="220" w:lineRule="auto"/>
              <w:ind w:left="2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1.治疗强度：治疗仪治疗输出幅度值从最小值到最大值调节分为 0-11 级，每一增量最小值 不大于 1mA。</w:t>
            </w:r>
          </w:p>
        </w:tc>
      </w:tr>
      <w:tr w14:paraId="7B5D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890BE">
            <w:pPr>
              <w:pStyle w:val="2"/>
              <w:spacing w:before="28" w:line="220" w:lineRule="auto"/>
              <w:ind w:left="28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2.电压幅度值：在 500Ω的负载阻抗下，输出电压幅度值≤10V；</w:t>
            </w:r>
          </w:p>
        </w:tc>
      </w:tr>
      <w:tr w14:paraId="50FCE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AF5BB4">
            <w:pPr>
              <w:pStyle w:val="2"/>
              <w:spacing w:before="28" w:line="220" w:lineRule="auto"/>
              <w:ind w:left="28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治疗输出电流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在 500Ω的负载阻抗下，最大输出幅值电流不大于 10mA，最小输出设定值，</w:t>
            </w:r>
            <w:r>
              <w:rPr>
                <w:rFonts w:hint="eastAsia" w:ascii="宋体" w:hAnsi="宋体" w:eastAsia="宋体" w:cs="宋体"/>
                <w:spacing w:val="14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1"/>
                <w:szCs w:val="21"/>
              </w:rPr>
              <w:t>必须不超过最大值的 2％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</w:tc>
      </w:tr>
      <w:tr w14:paraId="268F8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7F344F">
            <w:pPr>
              <w:pStyle w:val="2"/>
              <w:spacing w:before="26" w:line="220" w:lineRule="auto"/>
              <w:ind w:left="18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治疗输出波形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在 500Ω的负载阻抗下，中频波波形为脉冲方波，脉冲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宽度 0.25ms,输出频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率为 2.0kHz，误差范围±10％</w:t>
            </w:r>
          </w:p>
        </w:tc>
      </w:tr>
      <w:tr w14:paraId="0B0BA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0B211">
            <w:pPr>
              <w:pStyle w:val="2"/>
              <w:spacing w:before="27" w:line="220" w:lineRule="auto"/>
              <w:ind w:left="28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电源电压波动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电源电压波动±10％对药物导入仪脉冲输出幅度、频率的影响应在±10％范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5"/>
                <w:sz w:val="21"/>
                <w:szCs w:val="21"/>
              </w:rPr>
              <w:t>围内。</w:t>
            </w:r>
          </w:p>
        </w:tc>
      </w:tr>
      <w:tr w14:paraId="11954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EF64FC">
            <w:pPr>
              <w:pStyle w:val="2"/>
              <w:spacing w:before="26" w:line="220" w:lineRule="auto"/>
              <w:ind w:left="25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输出限制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应符合 YY 0607</w:t>
            </w:r>
            <w:r>
              <w:rPr>
                <w:rFonts w:hint="eastAsia"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spacing w:val="15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51.104a）的要求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；</w:t>
            </w:r>
          </w:p>
        </w:tc>
      </w:tr>
      <w:tr w14:paraId="419E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1A89FE">
            <w:pPr>
              <w:pStyle w:val="2"/>
              <w:spacing w:before="26" w:line="220" w:lineRule="auto"/>
              <w:ind w:left="29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短路保护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应符合 YY 0607</w:t>
            </w:r>
            <w:r>
              <w:rPr>
                <w:rFonts w:hint="eastAsia" w:ascii="宋体" w:hAnsi="宋体" w:eastAsia="宋体" w:cs="宋体"/>
                <w:spacing w:val="43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中</w:t>
            </w:r>
            <w:r>
              <w:rPr>
                <w:rFonts w:hint="eastAsia" w:ascii="宋体" w:hAnsi="宋体" w:eastAsia="宋体" w:cs="宋体"/>
                <w:spacing w:val="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46.101</w:t>
            </w:r>
            <w:r>
              <w:rPr>
                <w:rFonts w:hint="eastAsia" w:ascii="宋体" w:hAnsi="宋体" w:eastAsia="宋体" w:cs="宋体"/>
                <w:spacing w:val="2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的要求</w:t>
            </w:r>
          </w:p>
        </w:tc>
      </w:tr>
      <w:tr w14:paraId="129F1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452F30">
            <w:pPr>
              <w:pStyle w:val="2"/>
              <w:spacing w:before="27" w:line="220" w:lineRule="auto"/>
              <w:ind w:left="24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治疗时间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</w:rPr>
              <w:t>药物导入仪连续开机，能量调节最大，工作时间大于 4 小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</w:rPr>
              <w:t>时</w:t>
            </w:r>
          </w:p>
        </w:tc>
      </w:tr>
      <w:tr w14:paraId="7C6C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D6F62">
            <w:pPr>
              <w:pStyle w:val="2"/>
              <w:spacing w:before="28" w:line="221" w:lineRule="auto"/>
              <w:ind w:left="24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</w:rPr>
              <w:t>安全</w:t>
            </w:r>
            <w:r>
              <w:rPr>
                <w:rFonts w:hint="eastAsia" w:ascii="宋体" w:hAnsi="宋体" w:eastAsia="宋体" w:cs="宋体"/>
                <w:spacing w:val="-5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应满足 GB9706.1</w:t>
            </w:r>
            <w:r>
              <w:rPr>
                <w:rFonts w:hint="eastAsia" w:ascii="宋体" w:hAnsi="宋体" w:eastAsia="宋体" w:cs="宋体"/>
                <w:spacing w:val="4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中的相关要求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；</w:t>
            </w:r>
          </w:p>
        </w:tc>
      </w:tr>
      <w:tr w14:paraId="3A4DA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7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D22DC">
            <w:pPr>
              <w:pStyle w:val="2"/>
              <w:spacing w:before="26" w:line="220" w:lineRule="auto"/>
              <w:ind w:left="41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</w:rPr>
              <w:t>电磁兼容</w:t>
            </w:r>
            <w:r>
              <w:rPr>
                <w:rFonts w:hint="eastAsia" w:ascii="宋体" w:hAnsi="宋体" w:eastAsia="宋体" w:cs="宋体"/>
                <w:spacing w:val="-6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电磁兼容应符合 YY 0505-2012</w:t>
            </w:r>
            <w:r>
              <w:rPr>
                <w:rFonts w:hint="eastAsia" w:ascii="宋体" w:hAnsi="宋体" w:eastAsia="宋体" w:cs="宋体"/>
                <w:spacing w:val="39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</w:rPr>
              <w:t>的要求</w:t>
            </w:r>
          </w:p>
        </w:tc>
      </w:tr>
    </w:tbl>
    <w:p w14:paraId="2D7A7CD8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A0E8C"/>
    <w:rsid w:val="178A0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2025-02-14T11:01:00Z</dcterms:created>
  <dc:creator>罗宏</dc:creator>
  <cp:lastModifiedBy>罗宏</cp:lastModifiedBy>
  <dcterms:modified xsi:type="dcterms:W3CDTF">2025-02-14T11:02:35Z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20056F35FE1B4C969114A0786EC9DFAE_11</vt:lpwstr>
  </property>
  <property fmtid="{D5CDD505-2E9C-101B-9397-08002B2CF9AE}" pid="4" name="KSOTemplateDocerSaveRecord">
    <vt:lpwstr>eyJoZGlkIjoiZTA1YzQ3MGU1YmM4YmMyMTJmNjhlM2E0NjA0YTczZTQiLCJ1c2VySWQiOiIyMjcwNzA5ODYifQ==</vt:lpwstr>
  </property>
</Properties>
</file>