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595475">
      <w:pPr>
        <w:pStyle w:val="14"/>
        <w:spacing w:line="560" w:lineRule="exact"/>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华文中宋" w:hAnsi="华文中宋" w:eastAsia="华文中宋" w:cs="宋体"/>
          <w:color w:val="333333"/>
          <w:kern w:val="0"/>
          <w:sz w:val="44"/>
          <w:szCs w:val="44"/>
        </w:rPr>
        <w:t>货物类项目采购需求申报书</w:t>
      </w:r>
    </w:p>
    <w:p w14:paraId="396D01F8">
      <w:pPr>
        <w:rPr>
          <w:color w:val="000000" w:themeColor="text1"/>
          <w14:textFill>
            <w14:solidFill>
              <w14:schemeClr w14:val="tx1"/>
            </w14:solidFill>
          </w14:textFill>
        </w:rPr>
      </w:pPr>
    </w:p>
    <w:tbl>
      <w:tblPr>
        <w:tblStyle w:val="16"/>
        <w:tblW w:w="9285"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2078"/>
        <w:gridCol w:w="3243"/>
        <w:gridCol w:w="1543"/>
        <w:gridCol w:w="1995"/>
      </w:tblGrid>
      <w:tr w14:paraId="153DD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4" w:type="dxa"/>
            <w:gridSpan w:val="2"/>
            <w:vAlign w:val="center"/>
          </w:tcPr>
          <w:p w14:paraId="0A114F0F">
            <w:pPr>
              <w:jc w:val="center"/>
              <w:rPr>
                <w:rFonts w:asciiTheme="minorEastAsia" w:hAnsiTheme="minorEastAsia" w:eastAsiaTheme="minorEastAsia"/>
                <w:color w:val="auto"/>
                <w:szCs w:val="21"/>
                <w:highlight w:val="yellow"/>
              </w:rPr>
            </w:pPr>
            <w:r>
              <w:rPr>
                <w:rFonts w:hint="eastAsia" w:asciiTheme="minorEastAsia" w:hAnsiTheme="minorEastAsia" w:eastAsiaTheme="minorEastAsia"/>
                <w:color w:val="auto"/>
                <w:szCs w:val="21"/>
                <w:highlight w:val="yellow"/>
              </w:rPr>
              <w:t>项目名称</w:t>
            </w:r>
          </w:p>
        </w:tc>
        <w:tc>
          <w:tcPr>
            <w:tcW w:w="3243" w:type="dxa"/>
            <w:vAlign w:val="center"/>
          </w:tcPr>
          <w:p w14:paraId="19435698">
            <w:pPr>
              <w:jc w:val="center"/>
              <w:rPr>
                <w:rFonts w:hint="default" w:asciiTheme="minorEastAsia" w:hAnsiTheme="minorEastAsia" w:eastAsiaTheme="minorEastAsia"/>
                <w:color w:val="auto"/>
                <w:szCs w:val="21"/>
                <w:highlight w:val="yellow"/>
                <w:lang w:val="en-US" w:eastAsia="zh-CN"/>
              </w:rPr>
            </w:pPr>
            <w:r>
              <w:rPr>
                <w:rFonts w:hint="eastAsia" w:asciiTheme="minorEastAsia" w:hAnsiTheme="minorEastAsia" w:eastAsiaTheme="minorEastAsia"/>
                <w:color w:val="auto"/>
                <w:szCs w:val="21"/>
                <w:highlight w:val="yellow"/>
                <w:lang w:val="en-US" w:eastAsia="zh-CN"/>
              </w:rPr>
              <w:t>紫外线光疗仪（308nm）</w:t>
            </w:r>
          </w:p>
        </w:tc>
        <w:tc>
          <w:tcPr>
            <w:tcW w:w="1543" w:type="dxa"/>
            <w:vAlign w:val="center"/>
          </w:tcPr>
          <w:p w14:paraId="5ECDE4F7">
            <w:pPr>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采购类型</w:t>
            </w:r>
          </w:p>
        </w:tc>
        <w:tc>
          <w:tcPr>
            <w:tcW w:w="1995" w:type="dxa"/>
            <w:vAlign w:val="center"/>
          </w:tcPr>
          <w:p w14:paraId="7E571F45">
            <w:pPr>
              <w:jc w:val="center"/>
              <w:rPr>
                <w:rFonts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货物类</w:t>
            </w:r>
          </w:p>
        </w:tc>
      </w:tr>
      <w:tr w14:paraId="78E6E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4" w:type="dxa"/>
            <w:gridSpan w:val="2"/>
            <w:vAlign w:val="center"/>
          </w:tcPr>
          <w:p w14:paraId="6AB5D272">
            <w:pPr>
              <w:jc w:val="center"/>
              <w:rPr>
                <w:rFonts w:hint="eastAsia" w:asciiTheme="minorEastAsia" w:hAnsiTheme="minorEastAsia" w:eastAsiaTheme="minorEastAsia"/>
                <w:color w:val="auto"/>
                <w:szCs w:val="21"/>
                <w:highlight w:val="yellow"/>
                <w:lang w:eastAsia="zh-CN"/>
              </w:rPr>
            </w:pPr>
            <w:r>
              <w:rPr>
                <w:rFonts w:hint="eastAsia" w:asciiTheme="minorEastAsia" w:hAnsiTheme="minorEastAsia" w:eastAsiaTheme="minorEastAsia"/>
                <w:color w:val="auto"/>
                <w:szCs w:val="21"/>
                <w:highlight w:val="yellow"/>
                <w:lang w:eastAsia="zh-CN"/>
              </w:rPr>
              <w:t>数量</w:t>
            </w:r>
          </w:p>
        </w:tc>
        <w:tc>
          <w:tcPr>
            <w:tcW w:w="3243" w:type="dxa"/>
            <w:vAlign w:val="center"/>
          </w:tcPr>
          <w:p w14:paraId="003BC059">
            <w:pPr>
              <w:jc w:val="center"/>
              <w:rPr>
                <w:rFonts w:hint="default" w:asciiTheme="minorEastAsia" w:hAnsiTheme="minorEastAsia" w:eastAsiaTheme="minorEastAsia"/>
                <w:color w:val="auto"/>
                <w:szCs w:val="21"/>
                <w:highlight w:val="yellow"/>
                <w:lang w:val="en-US" w:eastAsia="zh-CN"/>
              </w:rPr>
            </w:pPr>
            <w:r>
              <w:rPr>
                <w:rFonts w:hint="eastAsia" w:asciiTheme="minorEastAsia" w:hAnsiTheme="minorEastAsia" w:eastAsiaTheme="minorEastAsia"/>
                <w:color w:val="auto"/>
                <w:szCs w:val="21"/>
                <w:highlight w:val="yellow"/>
                <w:lang w:val="en-US" w:eastAsia="zh-CN"/>
              </w:rPr>
              <w:t>1</w:t>
            </w:r>
          </w:p>
        </w:tc>
        <w:tc>
          <w:tcPr>
            <w:tcW w:w="1543" w:type="dxa"/>
            <w:vAlign w:val="center"/>
          </w:tcPr>
          <w:p w14:paraId="25369118">
            <w:pPr>
              <w:jc w:val="center"/>
              <w:rPr>
                <w:rFonts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采购</w:t>
            </w:r>
            <w:r>
              <w:rPr>
                <w:rFonts w:hint="eastAsia" w:asciiTheme="minorEastAsia" w:hAnsiTheme="minorEastAsia" w:eastAsiaTheme="minorEastAsia"/>
                <w:color w:val="auto"/>
                <w:szCs w:val="21"/>
                <w:highlight w:val="none"/>
              </w:rPr>
              <w:t>方</w:t>
            </w:r>
            <w:r>
              <w:rPr>
                <w:rFonts w:asciiTheme="minorEastAsia" w:hAnsiTheme="minorEastAsia" w:eastAsiaTheme="minorEastAsia"/>
                <w:color w:val="auto"/>
                <w:szCs w:val="21"/>
                <w:highlight w:val="none"/>
              </w:rPr>
              <w:t>式</w:t>
            </w:r>
          </w:p>
        </w:tc>
        <w:tc>
          <w:tcPr>
            <w:tcW w:w="1995" w:type="dxa"/>
            <w:vAlign w:val="center"/>
          </w:tcPr>
          <w:p w14:paraId="31582D8B">
            <w:pPr>
              <w:jc w:val="center"/>
              <w:rPr>
                <w:rFonts w:hint="eastAsia" w:asciiTheme="minorEastAsia" w:hAnsiTheme="minorEastAsia" w:eastAsiaTheme="minorEastAsia"/>
                <w:color w:val="auto"/>
                <w:szCs w:val="21"/>
                <w:highlight w:val="none"/>
                <w:lang w:eastAsia="zh-CN"/>
              </w:rPr>
            </w:pPr>
            <w:r>
              <w:rPr>
                <w:rFonts w:hint="eastAsia" w:asciiTheme="minorEastAsia" w:hAnsiTheme="minorEastAsia" w:eastAsiaTheme="minorEastAsia"/>
                <w:color w:val="auto"/>
                <w:szCs w:val="21"/>
                <w:highlight w:val="none"/>
                <w:lang w:eastAsia="zh-CN"/>
              </w:rPr>
              <w:t>公开招标</w:t>
            </w:r>
          </w:p>
        </w:tc>
      </w:tr>
      <w:tr w14:paraId="4E2EE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4" w:type="dxa"/>
            <w:gridSpan w:val="2"/>
            <w:vAlign w:val="center"/>
          </w:tcPr>
          <w:p w14:paraId="7E86E8B2">
            <w:pPr>
              <w:jc w:val="center"/>
              <w:rPr>
                <w:rFonts w:asciiTheme="minorEastAsia" w:hAnsiTheme="minorEastAsia" w:eastAsiaTheme="minorEastAsia"/>
                <w:color w:val="auto"/>
                <w:szCs w:val="21"/>
                <w:highlight w:val="yellow"/>
              </w:rPr>
            </w:pPr>
            <w:r>
              <w:rPr>
                <w:rFonts w:hint="eastAsia" w:asciiTheme="minorEastAsia" w:hAnsiTheme="minorEastAsia" w:eastAsiaTheme="minorEastAsia"/>
                <w:color w:val="auto"/>
                <w:szCs w:val="21"/>
                <w:highlight w:val="yellow"/>
              </w:rPr>
              <w:t>预算限额（万元）</w:t>
            </w:r>
          </w:p>
        </w:tc>
        <w:tc>
          <w:tcPr>
            <w:tcW w:w="3243" w:type="dxa"/>
            <w:vAlign w:val="center"/>
          </w:tcPr>
          <w:p w14:paraId="73AA7A5A">
            <w:pPr>
              <w:jc w:val="center"/>
              <w:rPr>
                <w:rFonts w:hint="default" w:asciiTheme="minorEastAsia" w:hAnsiTheme="minorEastAsia" w:eastAsiaTheme="minorEastAsia"/>
                <w:color w:val="auto"/>
                <w:szCs w:val="21"/>
                <w:highlight w:val="yellow"/>
                <w:lang w:val="en-US" w:eastAsia="zh-CN"/>
              </w:rPr>
            </w:pPr>
            <w:r>
              <w:rPr>
                <w:rFonts w:hint="eastAsia" w:asciiTheme="minorEastAsia" w:hAnsiTheme="minorEastAsia" w:eastAsiaTheme="minorEastAsia"/>
                <w:color w:val="auto"/>
                <w:szCs w:val="21"/>
                <w:highlight w:val="yellow"/>
                <w:lang w:val="en-US" w:eastAsia="zh-CN"/>
              </w:rPr>
              <w:t>18</w:t>
            </w:r>
          </w:p>
        </w:tc>
        <w:tc>
          <w:tcPr>
            <w:tcW w:w="1543" w:type="dxa"/>
            <w:shd w:val="clear" w:color="auto" w:fill="auto"/>
            <w:vAlign w:val="center"/>
          </w:tcPr>
          <w:p w14:paraId="3845186E">
            <w:pPr>
              <w:jc w:val="center"/>
              <w:rPr>
                <w:rFonts w:asciiTheme="minorEastAsia" w:hAnsiTheme="minorEastAsia" w:eastAsiaTheme="minorEastAsia"/>
                <w:color w:val="auto"/>
                <w:szCs w:val="21"/>
                <w:highlight w:val="yellow"/>
              </w:rPr>
            </w:pPr>
            <w:r>
              <w:rPr>
                <w:rFonts w:hint="eastAsia" w:asciiTheme="minorEastAsia" w:hAnsiTheme="minorEastAsia" w:eastAsiaTheme="minorEastAsia"/>
                <w:color w:val="auto"/>
                <w:szCs w:val="21"/>
                <w:highlight w:val="yellow"/>
                <w:lang w:eastAsia="zh-CN"/>
              </w:rPr>
              <w:t>是否接受进口</w:t>
            </w:r>
          </w:p>
        </w:tc>
        <w:tc>
          <w:tcPr>
            <w:tcW w:w="1995" w:type="dxa"/>
            <w:shd w:val="clear" w:color="auto" w:fill="auto"/>
            <w:vAlign w:val="center"/>
          </w:tcPr>
          <w:p w14:paraId="1F38331E">
            <w:pPr>
              <w:jc w:val="center"/>
              <w:rPr>
                <w:rFonts w:hint="default" w:asciiTheme="minorEastAsia" w:hAnsiTheme="minorEastAsia" w:eastAsiaTheme="minorEastAsia"/>
                <w:color w:val="auto"/>
                <w:szCs w:val="21"/>
                <w:highlight w:val="yellow"/>
                <w:lang w:val="en-US" w:eastAsia="zh-CN"/>
              </w:rPr>
            </w:pPr>
            <w:r>
              <w:rPr>
                <w:rFonts w:hint="eastAsia" w:asciiTheme="minorEastAsia" w:hAnsiTheme="minorEastAsia" w:eastAsiaTheme="minorEastAsia"/>
                <w:color w:val="auto"/>
                <w:szCs w:val="21"/>
                <w:highlight w:val="yellow"/>
                <w:lang w:val="en-US" w:eastAsia="zh-CN"/>
              </w:rPr>
              <w:t>否</w:t>
            </w:r>
          </w:p>
        </w:tc>
      </w:tr>
      <w:tr w14:paraId="5B97E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426" w:type="dxa"/>
          </w:tcPr>
          <w:p w14:paraId="2BED0D57">
            <w:pPr>
              <w:jc w:val="center"/>
              <w:rPr>
                <w:rFonts w:cs="宋体" w:asciiTheme="minorEastAsia" w:hAnsiTheme="minorEastAsia" w:eastAsiaTheme="minorEastAsia"/>
                <w:color w:val="auto"/>
                <w:kern w:val="0"/>
                <w:szCs w:val="21"/>
                <w:highlight w:val="yellow"/>
              </w:rPr>
            </w:pPr>
            <w:r>
              <w:rPr>
                <w:rFonts w:hint="eastAsia" w:cs="宋体" w:asciiTheme="minorEastAsia" w:hAnsiTheme="minorEastAsia" w:eastAsiaTheme="minorEastAsia"/>
                <w:color w:val="auto"/>
                <w:kern w:val="0"/>
                <w:szCs w:val="21"/>
                <w:highlight w:val="yellow"/>
              </w:rPr>
              <w:t>货物清单</w:t>
            </w:r>
          </w:p>
        </w:tc>
        <w:tc>
          <w:tcPr>
            <w:tcW w:w="8859" w:type="dxa"/>
            <w:gridSpan w:val="4"/>
          </w:tcPr>
          <w:tbl>
            <w:tblPr>
              <w:tblStyle w:val="16"/>
              <w:tblpPr w:leftFromText="180" w:rightFromText="180" w:vertAnchor="text" w:horzAnchor="margin" w:tblpY="17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1"/>
              <w:gridCol w:w="4098"/>
              <w:gridCol w:w="1131"/>
              <w:gridCol w:w="2046"/>
            </w:tblGrid>
            <w:tr w14:paraId="3841C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center"/>
                </w:tcPr>
                <w:p w14:paraId="3EECA249">
                  <w:pPr>
                    <w:jc w:val="center"/>
                    <w:rPr>
                      <w:bCs/>
                      <w:color w:val="auto"/>
                      <w:sz w:val="21"/>
                      <w:szCs w:val="21"/>
                      <w:highlight w:val="yellow"/>
                    </w:rPr>
                  </w:pPr>
                  <w:r>
                    <w:rPr>
                      <w:rFonts w:hint="eastAsia"/>
                      <w:bCs/>
                      <w:color w:val="auto"/>
                      <w:sz w:val="21"/>
                      <w:szCs w:val="21"/>
                      <w:highlight w:val="yellow"/>
                    </w:rPr>
                    <w:t>序号</w:t>
                  </w:r>
                </w:p>
              </w:tc>
              <w:tc>
                <w:tcPr>
                  <w:tcW w:w="4098" w:type="dxa"/>
                  <w:noWrap w:val="0"/>
                  <w:vAlign w:val="center"/>
                </w:tcPr>
                <w:p w14:paraId="54FF3762">
                  <w:pPr>
                    <w:jc w:val="center"/>
                    <w:rPr>
                      <w:bCs/>
                      <w:color w:val="auto"/>
                      <w:sz w:val="21"/>
                      <w:szCs w:val="21"/>
                      <w:highlight w:val="yellow"/>
                    </w:rPr>
                  </w:pPr>
                  <w:r>
                    <w:rPr>
                      <w:rFonts w:hint="eastAsia"/>
                      <w:bCs/>
                      <w:color w:val="auto"/>
                      <w:sz w:val="21"/>
                      <w:szCs w:val="21"/>
                      <w:highlight w:val="yellow"/>
                    </w:rPr>
                    <w:t>货物名称</w:t>
                  </w:r>
                </w:p>
              </w:tc>
              <w:tc>
                <w:tcPr>
                  <w:tcW w:w="1131" w:type="dxa"/>
                  <w:noWrap w:val="0"/>
                  <w:vAlign w:val="center"/>
                </w:tcPr>
                <w:p w14:paraId="3F8752E5">
                  <w:pPr>
                    <w:jc w:val="center"/>
                    <w:rPr>
                      <w:bCs/>
                      <w:color w:val="auto"/>
                      <w:sz w:val="21"/>
                      <w:szCs w:val="21"/>
                      <w:highlight w:val="yellow"/>
                    </w:rPr>
                  </w:pPr>
                  <w:r>
                    <w:rPr>
                      <w:rFonts w:hint="eastAsia"/>
                      <w:bCs/>
                      <w:color w:val="auto"/>
                      <w:sz w:val="21"/>
                      <w:szCs w:val="21"/>
                      <w:highlight w:val="yellow"/>
                    </w:rPr>
                    <w:t>数量</w:t>
                  </w:r>
                </w:p>
              </w:tc>
              <w:tc>
                <w:tcPr>
                  <w:tcW w:w="2046" w:type="dxa"/>
                  <w:noWrap w:val="0"/>
                  <w:vAlign w:val="center"/>
                </w:tcPr>
                <w:p w14:paraId="752A1A18">
                  <w:pPr>
                    <w:jc w:val="center"/>
                    <w:rPr>
                      <w:bCs/>
                      <w:color w:val="auto"/>
                      <w:sz w:val="21"/>
                      <w:szCs w:val="21"/>
                      <w:highlight w:val="yellow"/>
                    </w:rPr>
                  </w:pPr>
                  <w:r>
                    <w:rPr>
                      <w:rFonts w:hint="eastAsia"/>
                      <w:bCs/>
                      <w:color w:val="auto"/>
                      <w:sz w:val="21"/>
                      <w:szCs w:val="21"/>
                      <w:highlight w:val="yellow"/>
                    </w:rPr>
                    <w:t>单位</w:t>
                  </w:r>
                </w:p>
              </w:tc>
            </w:tr>
            <w:tr w14:paraId="36443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top"/>
                </w:tcPr>
                <w:p w14:paraId="4F267C3B">
                  <w:pPr>
                    <w:jc w:val="center"/>
                    <w:rPr>
                      <w:rFonts w:hint="eastAsia" w:eastAsia="宋体"/>
                      <w:bCs/>
                      <w:color w:val="auto"/>
                      <w:sz w:val="21"/>
                      <w:szCs w:val="21"/>
                      <w:highlight w:val="yellow"/>
                      <w:lang w:val="en-US" w:eastAsia="zh-CN"/>
                    </w:rPr>
                  </w:pPr>
                  <w:r>
                    <w:rPr>
                      <w:rFonts w:hint="eastAsia"/>
                      <w:bCs/>
                      <w:color w:val="auto"/>
                      <w:sz w:val="21"/>
                      <w:szCs w:val="21"/>
                      <w:highlight w:val="yellow"/>
                      <w:lang w:val="en-US" w:eastAsia="zh-CN"/>
                    </w:rPr>
                    <w:t>1</w:t>
                  </w:r>
                </w:p>
              </w:tc>
              <w:tc>
                <w:tcPr>
                  <w:tcW w:w="4098" w:type="dxa"/>
                  <w:noWrap w:val="0"/>
                  <w:vAlign w:val="center"/>
                </w:tcPr>
                <w:p w14:paraId="15282C91">
                  <w:pPr>
                    <w:spacing w:line="400" w:lineRule="exact"/>
                    <w:jc w:val="center"/>
                    <w:rPr>
                      <w:rFonts w:hint="eastAsia" w:ascii="宋体" w:hAnsi="宋体"/>
                      <w:color w:val="auto"/>
                      <w:kern w:val="0"/>
                      <w:sz w:val="21"/>
                      <w:szCs w:val="21"/>
                      <w:highlight w:val="yellow"/>
                    </w:rPr>
                  </w:pPr>
                  <w:r>
                    <w:rPr>
                      <w:rFonts w:hint="eastAsia" w:ascii="宋体" w:hAnsi="宋体"/>
                      <w:color w:val="auto"/>
                      <w:kern w:val="0"/>
                      <w:sz w:val="21"/>
                      <w:szCs w:val="21"/>
                      <w:highlight w:val="yellow"/>
                    </w:rPr>
                    <w:t xml:space="preserve">主机 </w:t>
                  </w:r>
                </w:p>
              </w:tc>
              <w:tc>
                <w:tcPr>
                  <w:tcW w:w="1131" w:type="dxa"/>
                  <w:noWrap w:val="0"/>
                  <w:vAlign w:val="top"/>
                </w:tcPr>
                <w:p w14:paraId="2EC0893E">
                  <w:pPr>
                    <w:jc w:val="center"/>
                    <w:rPr>
                      <w:rFonts w:hint="default" w:eastAsia="宋体"/>
                      <w:bCs/>
                      <w:color w:val="auto"/>
                      <w:sz w:val="21"/>
                      <w:szCs w:val="21"/>
                      <w:highlight w:val="yellow"/>
                      <w:lang w:val="en-US" w:eastAsia="zh-CN"/>
                    </w:rPr>
                  </w:pPr>
                  <w:r>
                    <w:rPr>
                      <w:rFonts w:hint="eastAsia"/>
                      <w:bCs/>
                      <w:color w:val="auto"/>
                      <w:sz w:val="21"/>
                      <w:szCs w:val="21"/>
                      <w:highlight w:val="yellow"/>
                      <w:lang w:val="en-US" w:eastAsia="zh-CN"/>
                    </w:rPr>
                    <w:t>1</w:t>
                  </w:r>
                </w:p>
              </w:tc>
              <w:tc>
                <w:tcPr>
                  <w:tcW w:w="2046" w:type="dxa"/>
                  <w:noWrap w:val="0"/>
                  <w:vAlign w:val="center"/>
                </w:tcPr>
                <w:p w14:paraId="7D5918B2">
                  <w:pPr>
                    <w:spacing w:line="400" w:lineRule="exact"/>
                    <w:jc w:val="center"/>
                    <w:rPr>
                      <w:rFonts w:hint="eastAsia" w:eastAsia="宋体"/>
                      <w:bCs/>
                      <w:color w:val="auto"/>
                      <w:sz w:val="21"/>
                      <w:szCs w:val="21"/>
                      <w:highlight w:val="yellow"/>
                      <w:lang w:val="en-US" w:eastAsia="zh-CN"/>
                    </w:rPr>
                  </w:pPr>
                  <w:r>
                    <w:rPr>
                      <w:rFonts w:hint="eastAsia"/>
                      <w:bCs/>
                      <w:color w:val="auto"/>
                      <w:sz w:val="21"/>
                      <w:szCs w:val="21"/>
                      <w:highlight w:val="yellow"/>
                      <w:lang w:val="en-US" w:eastAsia="zh-CN"/>
                    </w:rPr>
                    <w:t>台</w:t>
                  </w:r>
                </w:p>
              </w:tc>
            </w:tr>
            <w:tr w14:paraId="43A0B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top"/>
                </w:tcPr>
                <w:p w14:paraId="3D264591">
                  <w:pPr>
                    <w:jc w:val="center"/>
                    <w:rPr>
                      <w:rFonts w:hint="eastAsia" w:eastAsia="宋体"/>
                      <w:bCs/>
                      <w:color w:val="auto"/>
                      <w:sz w:val="21"/>
                      <w:szCs w:val="21"/>
                      <w:highlight w:val="yellow"/>
                      <w:lang w:val="en-US" w:eastAsia="zh-CN"/>
                    </w:rPr>
                  </w:pPr>
                  <w:r>
                    <w:rPr>
                      <w:rFonts w:hint="eastAsia"/>
                      <w:bCs/>
                      <w:color w:val="auto"/>
                      <w:sz w:val="21"/>
                      <w:szCs w:val="21"/>
                      <w:highlight w:val="yellow"/>
                      <w:lang w:val="en-US" w:eastAsia="zh-CN"/>
                    </w:rPr>
                    <w:t>2</w:t>
                  </w:r>
                </w:p>
              </w:tc>
              <w:tc>
                <w:tcPr>
                  <w:tcW w:w="4098" w:type="dxa"/>
                  <w:noWrap w:val="0"/>
                  <w:vAlign w:val="center"/>
                </w:tcPr>
                <w:p w14:paraId="6501A0CC">
                  <w:pPr>
                    <w:jc w:val="center"/>
                    <w:rPr>
                      <w:rFonts w:ascii="宋体" w:hAnsi="宋体"/>
                      <w:color w:val="auto"/>
                      <w:sz w:val="21"/>
                      <w:szCs w:val="21"/>
                      <w:highlight w:val="yellow"/>
                    </w:rPr>
                  </w:pPr>
                  <w:r>
                    <w:rPr>
                      <w:rFonts w:hint="eastAsia" w:ascii="宋体" w:hAnsi="宋体"/>
                      <w:color w:val="auto"/>
                      <w:kern w:val="0"/>
                      <w:sz w:val="21"/>
                      <w:szCs w:val="21"/>
                      <w:highlight w:val="yellow"/>
                    </w:rPr>
                    <w:t>护目镜</w:t>
                  </w:r>
                </w:p>
              </w:tc>
              <w:tc>
                <w:tcPr>
                  <w:tcW w:w="1131" w:type="dxa"/>
                  <w:noWrap w:val="0"/>
                  <w:vAlign w:val="center"/>
                </w:tcPr>
                <w:p w14:paraId="7DDEC90C">
                  <w:pPr>
                    <w:jc w:val="center"/>
                    <w:rPr>
                      <w:rFonts w:hint="default" w:ascii="宋体" w:hAnsi="宋体" w:eastAsia="宋体"/>
                      <w:color w:val="auto"/>
                      <w:sz w:val="21"/>
                      <w:szCs w:val="21"/>
                      <w:highlight w:val="yellow"/>
                      <w:lang w:val="en-US" w:eastAsia="zh-CN"/>
                    </w:rPr>
                  </w:pPr>
                  <w:r>
                    <w:rPr>
                      <w:rFonts w:hint="eastAsia" w:ascii="宋体" w:hAnsi="宋体"/>
                      <w:color w:val="auto"/>
                      <w:sz w:val="21"/>
                      <w:szCs w:val="21"/>
                      <w:highlight w:val="yellow"/>
                      <w:lang w:val="en-US" w:eastAsia="zh-CN"/>
                    </w:rPr>
                    <w:t>2</w:t>
                  </w:r>
                </w:p>
              </w:tc>
              <w:tc>
                <w:tcPr>
                  <w:tcW w:w="2046" w:type="dxa"/>
                  <w:noWrap w:val="0"/>
                  <w:vAlign w:val="center"/>
                </w:tcPr>
                <w:p w14:paraId="6B3F7A16">
                  <w:pPr>
                    <w:jc w:val="center"/>
                    <w:rPr>
                      <w:rFonts w:hint="default" w:ascii="宋体" w:hAnsi="宋体" w:eastAsia="宋体" w:cs="宋体"/>
                      <w:b/>
                      <w:color w:val="auto"/>
                      <w:sz w:val="21"/>
                      <w:szCs w:val="21"/>
                      <w:highlight w:val="yellow"/>
                      <w:lang w:val="en-US" w:eastAsia="zh-CN"/>
                    </w:rPr>
                  </w:pPr>
                  <w:r>
                    <w:rPr>
                      <w:rFonts w:hint="eastAsia" w:ascii="宋体" w:hAnsi="宋体" w:cs="宋体"/>
                      <w:b/>
                      <w:color w:val="auto"/>
                      <w:sz w:val="21"/>
                      <w:szCs w:val="21"/>
                      <w:highlight w:val="yellow"/>
                      <w:lang w:val="en-US" w:eastAsia="zh-CN"/>
                    </w:rPr>
                    <w:t>副</w:t>
                  </w:r>
                </w:p>
              </w:tc>
            </w:tr>
            <w:tr w14:paraId="6D58D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top"/>
                </w:tcPr>
                <w:p w14:paraId="1264D6CE">
                  <w:pPr>
                    <w:jc w:val="center"/>
                    <w:rPr>
                      <w:rFonts w:hint="eastAsia" w:eastAsia="宋体"/>
                      <w:bCs/>
                      <w:color w:val="auto"/>
                      <w:sz w:val="21"/>
                      <w:szCs w:val="21"/>
                      <w:highlight w:val="yellow"/>
                      <w:lang w:val="en-US" w:eastAsia="zh-CN"/>
                    </w:rPr>
                  </w:pPr>
                  <w:r>
                    <w:rPr>
                      <w:rFonts w:hint="eastAsia"/>
                      <w:bCs/>
                      <w:color w:val="auto"/>
                      <w:sz w:val="21"/>
                      <w:szCs w:val="21"/>
                      <w:highlight w:val="yellow"/>
                      <w:lang w:val="en-US" w:eastAsia="zh-CN"/>
                    </w:rPr>
                    <w:t>3</w:t>
                  </w:r>
                </w:p>
              </w:tc>
              <w:tc>
                <w:tcPr>
                  <w:tcW w:w="4098" w:type="dxa"/>
                  <w:noWrap w:val="0"/>
                  <w:vAlign w:val="center"/>
                </w:tcPr>
                <w:p w14:paraId="76FEFEAB">
                  <w:pPr>
                    <w:jc w:val="center"/>
                    <w:rPr>
                      <w:rFonts w:ascii="宋体" w:hAnsi="宋体" w:cs="微软雅黑"/>
                      <w:color w:val="auto"/>
                      <w:sz w:val="21"/>
                      <w:szCs w:val="21"/>
                      <w:highlight w:val="yellow"/>
                    </w:rPr>
                  </w:pPr>
                  <w:r>
                    <w:rPr>
                      <w:rFonts w:hint="eastAsia" w:ascii="宋体" w:hAnsi="宋体"/>
                      <w:color w:val="auto"/>
                      <w:kern w:val="0"/>
                      <w:sz w:val="21"/>
                      <w:szCs w:val="21"/>
                      <w:highlight w:val="yellow"/>
                    </w:rPr>
                    <w:t>护肤硅胶片</w:t>
                  </w:r>
                </w:p>
              </w:tc>
              <w:tc>
                <w:tcPr>
                  <w:tcW w:w="1131" w:type="dxa"/>
                  <w:noWrap w:val="0"/>
                  <w:vAlign w:val="center"/>
                </w:tcPr>
                <w:p w14:paraId="775E689D">
                  <w:pPr>
                    <w:jc w:val="center"/>
                    <w:rPr>
                      <w:rFonts w:hint="default" w:ascii="宋体" w:hAnsi="宋体" w:eastAsia="宋体"/>
                      <w:color w:val="auto"/>
                      <w:sz w:val="21"/>
                      <w:szCs w:val="21"/>
                      <w:highlight w:val="yellow"/>
                      <w:lang w:val="en-US" w:eastAsia="zh-CN"/>
                    </w:rPr>
                  </w:pPr>
                  <w:r>
                    <w:rPr>
                      <w:rFonts w:hint="eastAsia" w:ascii="宋体" w:hAnsi="宋体"/>
                      <w:color w:val="auto"/>
                      <w:sz w:val="21"/>
                      <w:szCs w:val="21"/>
                      <w:highlight w:val="yellow"/>
                      <w:lang w:val="en-US" w:eastAsia="zh-CN"/>
                    </w:rPr>
                    <w:t>4</w:t>
                  </w:r>
                </w:p>
              </w:tc>
              <w:tc>
                <w:tcPr>
                  <w:tcW w:w="2046" w:type="dxa"/>
                  <w:noWrap w:val="0"/>
                  <w:vAlign w:val="center"/>
                </w:tcPr>
                <w:p w14:paraId="75E6A5FC">
                  <w:pPr>
                    <w:jc w:val="center"/>
                    <w:rPr>
                      <w:rFonts w:hint="eastAsia" w:ascii="宋体" w:hAnsi="宋体" w:eastAsia="宋体" w:cs="宋体"/>
                      <w:b/>
                      <w:color w:val="auto"/>
                      <w:sz w:val="21"/>
                      <w:szCs w:val="21"/>
                      <w:highlight w:val="yellow"/>
                      <w:lang w:val="en-US" w:eastAsia="zh-CN"/>
                    </w:rPr>
                  </w:pPr>
                  <w:r>
                    <w:rPr>
                      <w:rFonts w:hint="eastAsia" w:ascii="宋体" w:hAnsi="宋体" w:cs="宋体"/>
                      <w:b/>
                      <w:color w:val="auto"/>
                      <w:sz w:val="21"/>
                      <w:szCs w:val="21"/>
                      <w:highlight w:val="yellow"/>
                      <w:lang w:val="en-US" w:eastAsia="zh-CN"/>
                    </w:rPr>
                    <w:t>张</w:t>
                  </w:r>
                </w:p>
              </w:tc>
            </w:tr>
            <w:tr w14:paraId="2CA3E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top"/>
                </w:tcPr>
                <w:p w14:paraId="393DA8B5">
                  <w:pPr>
                    <w:jc w:val="center"/>
                    <w:rPr>
                      <w:rFonts w:hint="eastAsia" w:eastAsia="宋体"/>
                      <w:bCs/>
                      <w:color w:val="auto"/>
                      <w:sz w:val="21"/>
                      <w:szCs w:val="21"/>
                      <w:highlight w:val="yellow"/>
                      <w:lang w:val="en-US" w:eastAsia="zh-CN"/>
                    </w:rPr>
                  </w:pPr>
                  <w:r>
                    <w:rPr>
                      <w:rFonts w:hint="eastAsia"/>
                      <w:bCs/>
                      <w:color w:val="auto"/>
                      <w:sz w:val="21"/>
                      <w:szCs w:val="21"/>
                      <w:highlight w:val="yellow"/>
                      <w:lang w:val="en-US" w:eastAsia="zh-CN"/>
                    </w:rPr>
                    <w:t>4</w:t>
                  </w:r>
                </w:p>
              </w:tc>
              <w:tc>
                <w:tcPr>
                  <w:tcW w:w="4098" w:type="dxa"/>
                  <w:noWrap w:val="0"/>
                  <w:vAlign w:val="center"/>
                </w:tcPr>
                <w:p w14:paraId="5CAD2BF3">
                  <w:pPr>
                    <w:jc w:val="center"/>
                    <w:rPr>
                      <w:rFonts w:hint="eastAsia" w:ascii="宋体" w:hAnsi="宋体" w:cs="宋体"/>
                      <w:color w:val="auto"/>
                      <w:sz w:val="21"/>
                      <w:szCs w:val="21"/>
                      <w:highlight w:val="yellow"/>
                    </w:rPr>
                  </w:pPr>
                  <w:r>
                    <w:rPr>
                      <w:rFonts w:hint="eastAsia" w:ascii="宋体" w:hAnsi="宋体"/>
                      <w:color w:val="auto"/>
                      <w:kern w:val="0"/>
                      <w:sz w:val="21"/>
                      <w:szCs w:val="21"/>
                      <w:highlight w:val="yellow"/>
                    </w:rPr>
                    <w:t>硅胶头</w:t>
                  </w:r>
                </w:p>
              </w:tc>
              <w:tc>
                <w:tcPr>
                  <w:tcW w:w="1131" w:type="dxa"/>
                  <w:noWrap w:val="0"/>
                  <w:vAlign w:val="center"/>
                </w:tcPr>
                <w:p w14:paraId="21D8BC29">
                  <w:pPr>
                    <w:jc w:val="center"/>
                    <w:rPr>
                      <w:rFonts w:hint="default" w:ascii="宋体" w:hAnsi="宋体" w:eastAsia="宋体" w:cs="微软雅黑"/>
                      <w:color w:val="auto"/>
                      <w:sz w:val="21"/>
                      <w:szCs w:val="21"/>
                      <w:highlight w:val="yellow"/>
                      <w:lang w:val="en-US" w:eastAsia="zh-CN"/>
                    </w:rPr>
                  </w:pPr>
                  <w:r>
                    <w:rPr>
                      <w:rFonts w:hint="eastAsia" w:ascii="宋体" w:hAnsi="宋体" w:cs="微软雅黑"/>
                      <w:color w:val="auto"/>
                      <w:sz w:val="21"/>
                      <w:szCs w:val="21"/>
                      <w:highlight w:val="yellow"/>
                      <w:lang w:val="en-US" w:eastAsia="zh-CN"/>
                    </w:rPr>
                    <w:t>5</w:t>
                  </w:r>
                </w:p>
              </w:tc>
              <w:tc>
                <w:tcPr>
                  <w:tcW w:w="2046" w:type="dxa"/>
                  <w:noWrap w:val="0"/>
                  <w:vAlign w:val="center"/>
                </w:tcPr>
                <w:p w14:paraId="14503E77">
                  <w:pPr>
                    <w:jc w:val="center"/>
                    <w:rPr>
                      <w:rFonts w:hint="eastAsia" w:ascii="宋体" w:hAnsi="宋体" w:eastAsia="宋体"/>
                      <w:b/>
                      <w:color w:val="auto"/>
                      <w:sz w:val="21"/>
                      <w:szCs w:val="21"/>
                      <w:highlight w:val="yellow"/>
                      <w:lang w:val="en-US" w:eastAsia="zh-CN"/>
                    </w:rPr>
                  </w:pPr>
                  <w:r>
                    <w:rPr>
                      <w:rFonts w:hint="eastAsia" w:ascii="宋体" w:hAnsi="宋体"/>
                      <w:b/>
                      <w:color w:val="auto"/>
                      <w:sz w:val="21"/>
                      <w:szCs w:val="21"/>
                      <w:highlight w:val="yellow"/>
                      <w:lang w:val="en-US" w:eastAsia="zh-CN"/>
                    </w:rPr>
                    <w:t>个</w:t>
                  </w:r>
                </w:p>
              </w:tc>
            </w:tr>
            <w:tr w14:paraId="2C5CA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top"/>
                </w:tcPr>
                <w:p w14:paraId="0A6C755B">
                  <w:pPr>
                    <w:jc w:val="center"/>
                    <w:rPr>
                      <w:rFonts w:hint="eastAsia" w:eastAsia="宋体"/>
                      <w:bCs/>
                      <w:color w:val="auto"/>
                      <w:sz w:val="21"/>
                      <w:szCs w:val="21"/>
                      <w:highlight w:val="yellow"/>
                      <w:lang w:val="en-US" w:eastAsia="zh-CN"/>
                    </w:rPr>
                  </w:pPr>
                  <w:r>
                    <w:rPr>
                      <w:rFonts w:hint="eastAsia"/>
                      <w:bCs/>
                      <w:color w:val="auto"/>
                      <w:sz w:val="21"/>
                      <w:szCs w:val="21"/>
                      <w:highlight w:val="yellow"/>
                      <w:lang w:val="en-US" w:eastAsia="zh-CN"/>
                    </w:rPr>
                    <w:t>5</w:t>
                  </w:r>
                </w:p>
              </w:tc>
              <w:tc>
                <w:tcPr>
                  <w:tcW w:w="4098" w:type="dxa"/>
                  <w:noWrap w:val="0"/>
                  <w:vAlign w:val="center"/>
                </w:tcPr>
                <w:p w14:paraId="5F4895C1">
                  <w:pPr>
                    <w:jc w:val="center"/>
                    <w:rPr>
                      <w:rFonts w:hint="eastAsia" w:ascii="宋体" w:hAnsi="宋体" w:cs="宋体"/>
                      <w:color w:val="auto"/>
                      <w:sz w:val="21"/>
                      <w:szCs w:val="21"/>
                      <w:highlight w:val="yellow"/>
                    </w:rPr>
                  </w:pPr>
                  <w:r>
                    <w:rPr>
                      <w:rFonts w:hint="eastAsia" w:ascii="宋体" w:hAnsi="宋体"/>
                      <w:color w:val="auto"/>
                      <w:kern w:val="0"/>
                      <w:sz w:val="21"/>
                      <w:szCs w:val="21"/>
                      <w:highlight w:val="yellow"/>
                    </w:rPr>
                    <w:t>说明书</w:t>
                  </w:r>
                </w:p>
              </w:tc>
              <w:tc>
                <w:tcPr>
                  <w:tcW w:w="1131" w:type="dxa"/>
                  <w:noWrap w:val="0"/>
                  <w:vAlign w:val="center"/>
                </w:tcPr>
                <w:p w14:paraId="4E015ECB">
                  <w:pPr>
                    <w:jc w:val="center"/>
                    <w:rPr>
                      <w:rFonts w:hint="default" w:ascii="宋体" w:hAnsi="宋体" w:eastAsia="宋体" w:cs="微软雅黑"/>
                      <w:color w:val="auto"/>
                      <w:sz w:val="21"/>
                      <w:szCs w:val="21"/>
                      <w:highlight w:val="yellow"/>
                      <w:lang w:val="en-US" w:eastAsia="zh-CN"/>
                    </w:rPr>
                  </w:pPr>
                  <w:r>
                    <w:rPr>
                      <w:rFonts w:hint="eastAsia" w:ascii="宋体" w:hAnsi="宋体" w:cs="微软雅黑"/>
                      <w:color w:val="auto"/>
                      <w:sz w:val="21"/>
                      <w:szCs w:val="21"/>
                      <w:highlight w:val="yellow"/>
                      <w:lang w:val="en-US" w:eastAsia="zh-CN"/>
                    </w:rPr>
                    <w:t>1</w:t>
                  </w:r>
                </w:p>
              </w:tc>
              <w:tc>
                <w:tcPr>
                  <w:tcW w:w="2046" w:type="dxa"/>
                  <w:noWrap w:val="0"/>
                  <w:vAlign w:val="center"/>
                </w:tcPr>
                <w:p w14:paraId="0F43CA51">
                  <w:pPr>
                    <w:jc w:val="center"/>
                    <w:rPr>
                      <w:rFonts w:hint="eastAsia" w:ascii="宋体" w:hAnsi="宋体" w:eastAsia="宋体"/>
                      <w:b/>
                      <w:color w:val="auto"/>
                      <w:sz w:val="21"/>
                      <w:szCs w:val="21"/>
                      <w:highlight w:val="yellow"/>
                      <w:lang w:val="en-US" w:eastAsia="zh-CN"/>
                    </w:rPr>
                  </w:pPr>
                  <w:r>
                    <w:rPr>
                      <w:rFonts w:hint="eastAsia" w:ascii="宋体" w:hAnsi="宋体"/>
                      <w:b/>
                      <w:color w:val="auto"/>
                      <w:sz w:val="21"/>
                      <w:szCs w:val="21"/>
                      <w:highlight w:val="yellow"/>
                      <w:lang w:val="en-US" w:eastAsia="zh-CN"/>
                    </w:rPr>
                    <w:t>本</w:t>
                  </w:r>
                </w:p>
              </w:tc>
            </w:tr>
            <w:tr w14:paraId="39D19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top"/>
                </w:tcPr>
                <w:p w14:paraId="7530D2B9">
                  <w:pPr>
                    <w:jc w:val="center"/>
                    <w:rPr>
                      <w:rFonts w:hint="default" w:eastAsia="宋体"/>
                      <w:bCs/>
                      <w:color w:val="auto"/>
                      <w:sz w:val="21"/>
                      <w:szCs w:val="21"/>
                      <w:highlight w:val="yellow"/>
                      <w:lang w:val="en-US" w:eastAsia="zh-CN"/>
                    </w:rPr>
                  </w:pPr>
                  <w:r>
                    <w:rPr>
                      <w:rFonts w:hint="eastAsia"/>
                      <w:bCs/>
                      <w:color w:val="auto"/>
                      <w:sz w:val="21"/>
                      <w:szCs w:val="21"/>
                      <w:highlight w:val="yellow"/>
                      <w:lang w:val="en-US" w:eastAsia="zh-CN"/>
                    </w:rPr>
                    <w:t>6</w:t>
                  </w:r>
                </w:p>
              </w:tc>
              <w:tc>
                <w:tcPr>
                  <w:tcW w:w="4098" w:type="dxa"/>
                  <w:noWrap w:val="0"/>
                  <w:vAlign w:val="center"/>
                </w:tcPr>
                <w:p w14:paraId="27E95E16">
                  <w:pPr>
                    <w:jc w:val="center"/>
                    <w:rPr>
                      <w:rFonts w:hint="eastAsia" w:ascii="宋体" w:hAnsi="宋体" w:cs="宋体"/>
                      <w:color w:val="auto"/>
                      <w:sz w:val="21"/>
                      <w:szCs w:val="21"/>
                      <w:highlight w:val="yellow"/>
                    </w:rPr>
                  </w:pPr>
                  <w:r>
                    <w:rPr>
                      <w:rFonts w:hint="eastAsia" w:ascii="宋体" w:hAnsi="宋体"/>
                      <w:color w:val="auto"/>
                      <w:kern w:val="0"/>
                      <w:sz w:val="21"/>
                      <w:szCs w:val="21"/>
                      <w:highlight w:val="yellow"/>
                    </w:rPr>
                    <w:t>合格证</w:t>
                  </w:r>
                </w:p>
              </w:tc>
              <w:tc>
                <w:tcPr>
                  <w:tcW w:w="1131" w:type="dxa"/>
                  <w:noWrap w:val="0"/>
                  <w:vAlign w:val="center"/>
                </w:tcPr>
                <w:p w14:paraId="4C40DF50">
                  <w:pPr>
                    <w:jc w:val="center"/>
                    <w:rPr>
                      <w:rFonts w:hint="default" w:ascii="宋体" w:hAnsi="宋体" w:eastAsia="宋体" w:cs="微软雅黑"/>
                      <w:color w:val="auto"/>
                      <w:sz w:val="21"/>
                      <w:szCs w:val="21"/>
                      <w:highlight w:val="yellow"/>
                      <w:lang w:val="en-US" w:eastAsia="zh-CN"/>
                    </w:rPr>
                  </w:pPr>
                  <w:r>
                    <w:rPr>
                      <w:rFonts w:hint="eastAsia" w:ascii="宋体" w:hAnsi="宋体" w:cs="微软雅黑"/>
                      <w:color w:val="auto"/>
                      <w:sz w:val="21"/>
                      <w:szCs w:val="21"/>
                      <w:highlight w:val="yellow"/>
                      <w:lang w:val="en-US" w:eastAsia="zh-CN"/>
                    </w:rPr>
                    <w:t>1</w:t>
                  </w:r>
                </w:p>
              </w:tc>
              <w:tc>
                <w:tcPr>
                  <w:tcW w:w="2046" w:type="dxa"/>
                  <w:noWrap w:val="0"/>
                  <w:vAlign w:val="center"/>
                </w:tcPr>
                <w:p w14:paraId="364B77D3">
                  <w:pPr>
                    <w:jc w:val="center"/>
                    <w:rPr>
                      <w:rFonts w:hint="eastAsia" w:ascii="宋体" w:hAnsi="宋体" w:eastAsia="宋体"/>
                      <w:b/>
                      <w:color w:val="auto"/>
                      <w:sz w:val="21"/>
                      <w:szCs w:val="21"/>
                      <w:highlight w:val="yellow"/>
                      <w:lang w:val="en-US" w:eastAsia="zh-CN"/>
                    </w:rPr>
                  </w:pPr>
                  <w:r>
                    <w:rPr>
                      <w:rFonts w:hint="eastAsia" w:ascii="宋体" w:hAnsi="宋体"/>
                      <w:b/>
                      <w:color w:val="auto"/>
                      <w:sz w:val="21"/>
                      <w:szCs w:val="21"/>
                      <w:highlight w:val="yellow"/>
                      <w:lang w:val="en-US" w:eastAsia="zh-CN"/>
                    </w:rPr>
                    <w:t>张</w:t>
                  </w:r>
                </w:p>
              </w:tc>
            </w:tr>
            <w:tr w14:paraId="07626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71" w:type="dxa"/>
                  <w:noWrap w:val="0"/>
                  <w:vAlign w:val="top"/>
                </w:tcPr>
                <w:p w14:paraId="66A4B68F">
                  <w:pPr>
                    <w:jc w:val="center"/>
                    <w:rPr>
                      <w:rFonts w:hint="default"/>
                      <w:bCs/>
                      <w:color w:val="auto"/>
                      <w:sz w:val="21"/>
                      <w:szCs w:val="21"/>
                      <w:highlight w:val="yellow"/>
                      <w:lang w:val="en-US" w:eastAsia="zh-CN"/>
                    </w:rPr>
                  </w:pPr>
                  <w:r>
                    <w:rPr>
                      <w:rFonts w:hint="eastAsia"/>
                      <w:bCs/>
                      <w:color w:val="auto"/>
                      <w:sz w:val="21"/>
                      <w:szCs w:val="21"/>
                      <w:highlight w:val="yellow"/>
                      <w:lang w:val="en-US" w:eastAsia="zh-CN"/>
                    </w:rPr>
                    <w:t>7</w:t>
                  </w:r>
                </w:p>
              </w:tc>
              <w:tc>
                <w:tcPr>
                  <w:tcW w:w="4098" w:type="dxa"/>
                  <w:noWrap w:val="0"/>
                  <w:vAlign w:val="center"/>
                </w:tcPr>
                <w:p w14:paraId="5A3D19E3">
                  <w:pPr>
                    <w:jc w:val="center"/>
                    <w:rPr>
                      <w:rFonts w:ascii="Times New Roman" w:hAnsi="Times New Roman" w:eastAsia="宋体" w:cs="Times New Roman"/>
                      <w:bCs/>
                      <w:sz w:val="21"/>
                      <w:szCs w:val="21"/>
                    </w:rPr>
                  </w:pPr>
                </w:p>
              </w:tc>
              <w:tc>
                <w:tcPr>
                  <w:tcW w:w="1131" w:type="dxa"/>
                  <w:noWrap w:val="0"/>
                  <w:vAlign w:val="center"/>
                </w:tcPr>
                <w:p w14:paraId="4ECB81E0">
                  <w:pPr>
                    <w:jc w:val="center"/>
                    <w:rPr>
                      <w:rFonts w:hint="eastAsia" w:ascii="宋体" w:hAnsi="宋体" w:eastAsia="宋体" w:cs="微软雅黑"/>
                      <w:color w:val="auto"/>
                      <w:sz w:val="21"/>
                      <w:szCs w:val="21"/>
                      <w:highlight w:val="yellow"/>
                      <w:lang w:val="en-US" w:eastAsia="zh-CN"/>
                    </w:rPr>
                  </w:pPr>
                </w:p>
              </w:tc>
              <w:tc>
                <w:tcPr>
                  <w:tcW w:w="2046" w:type="dxa"/>
                  <w:noWrap w:val="0"/>
                  <w:vAlign w:val="center"/>
                </w:tcPr>
                <w:p w14:paraId="26A74657">
                  <w:pPr>
                    <w:jc w:val="center"/>
                    <w:rPr>
                      <w:rFonts w:hint="eastAsia" w:ascii="宋体" w:hAnsi="宋体"/>
                      <w:b/>
                      <w:color w:val="auto"/>
                      <w:sz w:val="21"/>
                      <w:szCs w:val="21"/>
                      <w:highlight w:val="yellow"/>
                    </w:rPr>
                  </w:pPr>
                </w:p>
              </w:tc>
            </w:tr>
          </w:tbl>
          <w:p w14:paraId="645DF463">
            <w:pPr>
              <w:rPr>
                <w:rFonts w:asciiTheme="minorEastAsia" w:hAnsiTheme="minorEastAsia" w:eastAsiaTheme="minorEastAsia"/>
                <w:color w:val="auto"/>
                <w:szCs w:val="21"/>
                <w:highlight w:val="yellow"/>
              </w:rPr>
            </w:pPr>
          </w:p>
        </w:tc>
      </w:tr>
      <w:tr w14:paraId="3703D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5" w:hRule="atLeast"/>
        </w:trPr>
        <w:tc>
          <w:tcPr>
            <w:tcW w:w="426" w:type="dxa"/>
            <w:vAlign w:val="center"/>
          </w:tcPr>
          <w:p w14:paraId="50F463B1">
            <w:pPr>
              <w:jc w:val="center"/>
              <w:rPr>
                <w:rFonts w:cs="宋体" w:asciiTheme="minorEastAsia" w:hAnsiTheme="minorEastAsia" w:eastAsiaTheme="minorEastAsia"/>
                <w:color w:val="000000" w:themeColor="text1"/>
                <w:kern w:val="0"/>
                <w:szCs w:val="21"/>
                <w14:textFill>
                  <w14:solidFill>
                    <w14:schemeClr w14:val="tx1"/>
                  </w14:solidFill>
                </w14:textFill>
              </w:rPr>
            </w:pPr>
            <w:r>
              <w:rPr>
                <w:rFonts w:hint="eastAsia" w:cs="宋体" w:asciiTheme="minorEastAsia" w:hAnsiTheme="minorEastAsia" w:eastAsiaTheme="minorEastAsia"/>
                <w:color w:val="000000" w:themeColor="text1"/>
                <w:kern w:val="0"/>
                <w:szCs w:val="21"/>
                <w14:textFill>
                  <w14:solidFill>
                    <w14:schemeClr w14:val="tx1"/>
                  </w14:solidFill>
                </w14:textFill>
              </w:rPr>
              <w:t>具体技术要求</w:t>
            </w:r>
          </w:p>
        </w:tc>
        <w:tc>
          <w:tcPr>
            <w:tcW w:w="8859" w:type="dxa"/>
            <w:gridSpan w:val="4"/>
          </w:tcPr>
          <w:p w14:paraId="35AF7681">
            <w:pPr>
              <w:pStyle w:val="27"/>
              <w:numPr>
                <w:ilvl w:val="0"/>
                <w:numId w:val="0"/>
              </w:numPr>
              <w:ind w:leftChars="0"/>
              <w:rPr>
                <w:rFonts w:asciiTheme="minorEastAsia" w:hAnsiTheme="minorEastAsia" w:eastAsiaTheme="minorEastAsia"/>
                <w:color w:val="auto"/>
                <w:szCs w:val="21"/>
                <w:highlight w:val="yellow"/>
              </w:rPr>
            </w:pPr>
            <w:r>
              <w:rPr>
                <w:rFonts w:hint="eastAsia"/>
                <w:color w:val="auto"/>
                <w:highlight w:val="yellow"/>
                <w:lang w:eastAsia="zh-CN"/>
              </w:rPr>
              <w:t>一、（请用</w:t>
            </w:r>
            <w:r>
              <w:rPr>
                <w:rFonts w:hint="eastAsia"/>
                <w:color w:val="auto"/>
                <w:highlight w:val="yellow"/>
                <w:lang w:val="en-US" w:eastAsia="zh-CN"/>
              </w:rPr>
              <w:t>100字以内描述采购标的物的功能和质量要求，建议在本处明确适用范围、病种范围或使用科室、使用场景等，可参考设备注册证或说明书上适用范围内容。描述不准有品牌倾向性</w:t>
            </w:r>
            <w:r>
              <w:rPr>
                <w:rFonts w:hint="eastAsia"/>
                <w:color w:val="auto"/>
                <w:highlight w:val="yellow"/>
                <w:lang w:eastAsia="zh-CN"/>
              </w:rPr>
              <w:t>）</w:t>
            </w:r>
          </w:p>
          <w:p w14:paraId="50DF31C0">
            <w:pPr>
              <w:pStyle w:val="27"/>
              <w:widowControl w:val="0"/>
              <w:numPr>
                <w:ilvl w:val="0"/>
                <w:numId w:val="0"/>
              </w:numPr>
              <w:jc w:val="both"/>
              <w:rPr>
                <w:rFonts w:hint="eastAsia"/>
                <w:color w:val="auto"/>
                <w:highlight w:val="none"/>
                <w:u w:val="single"/>
                <w:lang w:eastAsia="zh-CN"/>
              </w:rPr>
            </w:pPr>
            <w:r>
              <w:rPr>
                <w:rFonts w:hint="eastAsia"/>
                <w:color w:val="auto"/>
                <w:highlight w:val="yellow"/>
                <w:u w:val="single"/>
                <w:lang w:val="en-US" w:eastAsia="zh-CN"/>
              </w:rPr>
              <w:t xml:space="preserve">    </w:t>
            </w:r>
            <w:r>
              <w:rPr>
                <w:rFonts w:hint="eastAsia" w:ascii="Times New Roman" w:hAnsi="Times New Roman" w:eastAsia="宋体" w:cs="Times New Roman"/>
                <w:color w:val="auto"/>
                <w:kern w:val="2"/>
                <w:sz w:val="21"/>
                <w:szCs w:val="24"/>
                <w:highlight w:val="yellow"/>
                <w:u w:val="single"/>
                <w:lang w:val="en-US" w:eastAsia="zh-CN" w:bidi="ar-SA"/>
              </w:rPr>
              <w:t>需是采用</w:t>
            </w:r>
            <w:r>
              <w:rPr>
                <w:rFonts w:hint="eastAsia" w:cs="Times New Roman"/>
                <w:color w:val="auto"/>
                <w:kern w:val="2"/>
                <w:sz w:val="21"/>
                <w:szCs w:val="24"/>
                <w:highlight w:val="yellow"/>
                <w:u w:val="single"/>
                <w:lang w:val="en-US" w:eastAsia="zh-CN" w:bidi="ar-SA"/>
              </w:rPr>
              <w:t>308nm</w:t>
            </w:r>
            <w:r>
              <w:rPr>
                <w:rFonts w:hint="eastAsia" w:ascii="Times New Roman" w:hAnsi="Times New Roman" w:eastAsia="宋体" w:cs="Times New Roman"/>
                <w:color w:val="auto"/>
                <w:kern w:val="2"/>
                <w:sz w:val="21"/>
                <w:szCs w:val="24"/>
                <w:highlight w:val="yellow"/>
                <w:u w:val="single"/>
                <w:lang w:val="en-US" w:eastAsia="zh-CN" w:bidi="ar-SA"/>
              </w:rPr>
              <w:t>波段紫外线光疗设备；使用科室：皮肤科；</w:t>
            </w:r>
            <w:r>
              <w:rPr>
                <w:rFonts w:hint="eastAsia"/>
                <w:color w:val="auto"/>
                <w:highlight w:val="yellow"/>
                <w:u w:val="single"/>
                <w:lang w:val="en-US" w:eastAsia="zh-CN"/>
              </w:rPr>
              <w:t xml:space="preserve"> 用于银屑病，白癜风，异位性皮炎，脂溢性皮炎，玫瑰糠疹，湿疹，带状疱疹，掌跖脓疱病等皮肤顽症的治疗。    </w:t>
            </w:r>
          </w:p>
          <w:p w14:paraId="26087036">
            <w:pPr>
              <w:numPr>
                <w:ilvl w:val="0"/>
                <w:numId w:val="0"/>
              </w:numPr>
              <w:tabs>
                <w:tab w:val="left" w:pos="540"/>
              </w:tabs>
              <w:adjustRightInd w:val="0"/>
              <w:snapToGrid w:val="0"/>
              <w:spacing w:line="360" w:lineRule="auto"/>
              <w:ind w:leftChars="0"/>
              <w:rPr>
                <w:rFonts w:ascii="宋体" w:hAnsi="宋体" w:cs="宋体"/>
                <w:kern w:val="0"/>
                <w:szCs w:val="21"/>
              </w:rPr>
            </w:pPr>
            <w:r>
              <w:rPr>
                <w:rFonts w:hint="eastAsia" w:ascii="宋体" w:hAnsi="宋体" w:cs="宋体"/>
                <w:kern w:val="0"/>
                <w:szCs w:val="21"/>
                <w:lang w:eastAsia="zh-CN"/>
              </w:rPr>
              <w:t>二、</w:t>
            </w:r>
            <w:r>
              <w:rPr>
                <w:rFonts w:hint="eastAsia" w:ascii="宋体" w:hAnsi="宋体" w:cs="宋体"/>
                <w:kern w:val="0"/>
                <w:szCs w:val="21"/>
              </w:rPr>
              <w:t>投标人拟投产品符合政府采购政策的，投标人须按招标文件要求提供相关的证明材料。</w:t>
            </w:r>
          </w:p>
          <w:p w14:paraId="0E26CC03">
            <w:pPr>
              <w:numPr>
                <w:ilvl w:val="0"/>
                <w:numId w:val="0"/>
              </w:numPr>
              <w:tabs>
                <w:tab w:val="left" w:pos="540"/>
              </w:tabs>
              <w:adjustRightInd w:val="0"/>
              <w:snapToGrid w:val="0"/>
              <w:spacing w:line="360" w:lineRule="auto"/>
              <w:ind w:leftChars="0"/>
              <w:rPr>
                <w:rFonts w:ascii="宋体" w:hAnsi="宋体" w:cs="宋体"/>
                <w:kern w:val="0"/>
                <w:szCs w:val="21"/>
              </w:rPr>
            </w:pPr>
            <w:r>
              <w:rPr>
                <w:rFonts w:hint="eastAsia" w:ascii="宋体" w:hAnsi="宋体" w:cs="宋体"/>
                <w:kern w:val="0"/>
                <w:szCs w:val="21"/>
                <w:lang w:eastAsia="zh-CN"/>
              </w:rPr>
              <w:t>三、</w:t>
            </w:r>
            <w:r>
              <w:rPr>
                <w:rFonts w:ascii="宋体" w:hAnsi="宋体" w:cs="宋体"/>
                <w:kern w:val="0"/>
                <w:szCs w:val="21"/>
              </w:rPr>
              <w:t>投标人拟投产品必须符合</w:t>
            </w:r>
            <w:r>
              <w:rPr>
                <w:rFonts w:hint="eastAsia" w:ascii="宋体" w:hAnsi="宋体" w:cs="宋体"/>
                <w:kern w:val="0"/>
                <w:szCs w:val="21"/>
              </w:rPr>
              <w:t>国家相关标准、行业标准、地方标准或者其他标准、规范；</w:t>
            </w:r>
          </w:p>
          <w:p w14:paraId="2293A136">
            <w:pPr>
              <w:numPr>
                <w:ilvl w:val="0"/>
                <w:numId w:val="0"/>
              </w:numPr>
              <w:tabs>
                <w:tab w:val="left" w:pos="540"/>
              </w:tabs>
              <w:adjustRightInd w:val="0"/>
              <w:snapToGrid w:val="0"/>
              <w:spacing w:line="360" w:lineRule="auto"/>
              <w:ind w:leftChars="0"/>
              <w:rPr>
                <w:rFonts w:ascii="宋体" w:hAnsi="宋体" w:cs="Courier New"/>
                <w:sz w:val="24"/>
              </w:rPr>
            </w:pPr>
            <w:r>
              <w:rPr>
                <w:rFonts w:hint="eastAsia" w:ascii="宋体" w:hAnsi="宋体" w:cs="Courier New"/>
                <w:szCs w:val="21"/>
                <w:lang w:eastAsia="zh-CN"/>
              </w:rPr>
              <w:t>四、</w:t>
            </w:r>
            <w:r>
              <w:rPr>
                <w:rFonts w:hint="eastAsia" w:ascii="宋体" w:hAnsi="宋体" w:cs="Courier New"/>
                <w:szCs w:val="21"/>
              </w:rPr>
              <w:t>如检验检测的事项属于法律、行政法规规定应当取得市场监督管理部门资质认定事项的，出具该报告的检验检测机构应当依法取得市场监督管理部门资质认定，在资质认定证书规定的能力范围内出具检验检测报告，并在报告上标注资质认定标志（CMA）。如法律、行政法规对检验检测机构资质认定另有规定的（如医疗器械类的检验检测），应依照相关法律、行政法规的规定在评审准则中予以明确报告是否需要特定资质认定标志。</w:t>
            </w:r>
          </w:p>
          <w:p w14:paraId="68A7E207">
            <w:pPr>
              <w:pStyle w:val="12"/>
            </w:pPr>
          </w:p>
          <w:p w14:paraId="5EF1CF43">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kern w:val="0"/>
                <w:sz w:val="21"/>
                <w:szCs w:val="21"/>
              </w:rPr>
            </w:pPr>
            <w:r>
              <w:rPr>
                <w:rFonts w:hint="eastAsia" w:ascii="宋体" w:hAnsi="宋体" w:eastAsia="宋体" w:cs="宋体"/>
                <w:bCs/>
                <w:kern w:val="0"/>
                <w:sz w:val="21"/>
                <w:szCs w:val="21"/>
              </w:rPr>
              <w:t>备注</w:t>
            </w:r>
            <w:r>
              <w:rPr>
                <w:rFonts w:hint="eastAsia" w:ascii="宋体" w:hAnsi="宋体" w:eastAsia="宋体" w:cs="宋体"/>
                <w:kern w:val="0"/>
                <w:sz w:val="21"/>
                <w:szCs w:val="21"/>
              </w:rPr>
              <w:t>：</w:t>
            </w:r>
          </w:p>
          <w:p w14:paraId="5C6A0318">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kern w:val="0"/>
                <w:sz w:val="21"/>
                <w:szCs w:val="21"/>
              </w:rPr>
            </w:pPr>
            <w:r>
              <w:rPr>
                <w:rFonts w:hint="eastAsia" w:ascii="宋体" w:hAnsi="宋体" w:eastAsia="宋体" w:cs="宋体"/>
                <w:kern w:val="0"/>
                <w:sz w:val="21"/>
                <w:szCs w:val="21"/>
              </w:rPr>
              <w:t>1、投标人须提供上表所列产品，在规定的时间内送至指定地点参与评分。</w:t>
            </w:r>
          </w:p>
          <w:p w14:paraId="24F36094">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kern w:val="0"/>
                <w:sz w:val="21"/>
                <w:szCs w:val="21"/>
              </w:rPr>
            </w:pPr>
            <w:r>
              <w:rPr>
                <w:rFonts w:hint="eastAsia" w:ascii="宋体" w:hAnsi="宋体" w:eastAsia="宋体" w:cs="宋体"/>
                <w:kern w:val="0"/>
                <w:sz w:val="21"/>
                <w:szCs w:val="21"/>
              </w:rPr>
              <w:t>2、样品与《实质性响应条款偏离表》中对应的投标内容存在不符的，评委会可根据情况视为《实质性响应条款偏离表》填写不实，初审不通过。</w:t>
            </w:r>
          </w:p>
          <w:p w14:paraId="60DC5FF6">
            <w:pPr>
              <w:keepNext w:val="0"/>
              <w:keepLines w:val="0"/>
              <w:suppressLineNumbers w:val="0"/>
              <w:autoSpaceDE w:val="0"/>
              <w:autoSpaceDN w:val="0"/>
              <w:adjustRightInd w:val="0"/>
              <w:spacing w:before="0" w:beforeAutospacing="0" w:after="0" w:afterAutospacing="0"/>
              <w:ind w:left="0" w:right="0" w:firstLine="525" w:firstLineChars="250"/>
              <w:jc w:val="left"/>
              <w:rPr>
                <w:rFonts w:hint="eastAsia" w:ascii="宋体" w:hAnsi="宋体" w:eastAsia="宋体" w:cs="宋体"/>
                <w:kern w:val="0"/>
                <w:sz w:val="21"/>
                <w:szCs w:val="21"/>
              </w:rPr>
            </w:pPr>
            <w:r>
              <w:rPr>
                <w:rFonts w:hint="eastAsia" w:ascii="宋体" w:hAnsi="宋体" w:eastAsia="宋体" w:cs="宋体"/>
                <w:kern w:val="0"/>
                <w:sz w:val="21"/>
                <w:szCs w:val="21"/>
              </w:rPr>
              <w:t>3、材料样品将作为履约验收的参考。</w:t>
            </w:r>
          </w:p>
          <w:p w14:paraId="3DA79150">
            <w:pPr>
              <w:ind w:firstLine="422" w:firstLineChars="200"/>
              <w:rPr>
                <w:rFonts w:hint="eastAsia" w:asciiTheme="minorEastAsia" w:hAnsiTheme="minorEastAsia" w:eastAsiaTheme="minorEastAsia"/>
                <w:b/>
                <w:szCs w:val="21"/>
              </w:rPr>
            </w:pPr>
          </w:p>
          <w:p w14:paraId="43106807">
            <w:pPr>
              <w:ind w:firstLine="422" w:firstLineChars="200"/>
              <w:rPr>
                <w:rFonts w:asciiTheme="minorEastAsia" w:hAnsiTheme="minorEastAsia" w:eastAsiaTheme="minorEastAsia"/>
                <w:b/>
                <w:szCs w:val="21"/>
                <w:highlight w:val="red"/>
              </w:rPr>
            </w:pPr>
            <w:r>
              <w:rPr>
                <w:rFonts w:hint="eastAsia" w:asciiTheme="minorEastAsia" w:hAnsiTheme="minorEastAsia" w:eastAsiaTheme="minorEastAsia"/>
                <w:b/>
                <w:szCs w:val="21"/>
              </w:rPr>
              <w:t>说明：</w:t>
            </w:r>
            <w:r>
              <w:rPr>
                <w:rFonts w:hint="eastAsia" w:asciiTheme="minorEastAsia" w:hAnsiTheme="minorEastAsia" w:eastAsiaTheme="minorEastAsia"/>
                <w:b/>
                <w:color w:val="auto"/>
                <w:szCs w:val="21"/>
                <w:highlight w:val="none"/>
              </w:rPr>
              <w:t>1、带“</w:t>
            </w:r>
            <w:r>
              <w:rPr>
                <w:rFonts w:asciiTheme="minorEastAsia" w:hAnsiTheme="minorEastAsia" w:eastAsiaTheme="minorEastAsia"/>
                <w:color w:val="auto"/>
                <w:szCs w:val="21"/>
                <w:highlight w:val="none"/>
              </w:rPr>
              <w:t>▲</w:t>
            </w:r>
            <w:r>
              <w:rPr>
                <w:rFonts w:hint="eastAsia" w:asciiTheme="minorEastAsia" w:hAnsiTheme="minorEastAsia" w:eastAsiaTheme="minorEastAsia"/>
                <w:b/>
                <w:color w:val="auto"/>
                <w:szCs w:val="21"/>
                <w:highlight w:val="none"/>
              </w:rPr>
              <w:t xml:space="preserve">”指标项为重要参数，负偏离时依相关评分准则内容作重点扣分处理。 </w:t>
            </w:r>
          </w:p>
          <w:p w14:paraId="0D17FD5D">
            <w:pPr>
              <w:ind w:firstLine="422" w:firstLineChars="200"/>
              <w:rPr>
                <w:rFonts w:asciiTheme="minorEastAsia" w:hAnsiTheme="minorEastAsia" w:eastAsiaTheme="minorEastAsia"/>
                <w:b/>
                <w:szCs w:val="21"/>
              </w:rPr>
            </w:pPr>
            <w:r>
              <w:rPr>
                <w:rFonts w:hint="eastAsia" w:asciiTheme="minorEastAsia" w:hAnsiTheme="minorEastAsia" w:eastAsiaTheme="minorEastAsia"/>
                <w:b/>
                <w:szCs w:val="21"/>
              </w:rPr>
              <w:t>2、技术要求中，用红色加粗字体标注的技术条款为要求提供证明资料的条款，共</w:t>
            </w:r>
            <w:r>
              <w:rPr>
                <w:rFonts w:hint="eastAsia" w:asciiTheme="minorEastAsia" w:hAnsiTheme="minorEastAsia" w:eastAsiaTheme="minorEastAsia"/>
                <w:b/>
                <w:szCs w:val="21"/>
                <w:u w:val="single"/>
              </w:rPr>
              <w:t xml:space="preserve"> </w:t>
            </w:r>
            <w:r>
              <w:rPr>
                <w:rFonts w:hint="eastAsia" w:asciiTheme="minorEastAsia" w:hAnsiTheme="minorEastAsia" w:eastAsiaTheme="minorEastAsia"/>
                <w:b/>
                <w:szCs w:val="21"/>
                <w:u w:val="single"/>
                <w:lang w:val="en-US" w:eastAsia="zh-CN"/>
              </w:rPr>
              <w:t>4</w:t>
            </w:r>
            <w:r>
              <w:rPr>
                <w:rFonts w:hint="eastAsia" w:asciiTheme="minorEastAsia" w:hAnsiTheme="minorEastAsia" w:eastAsiaTheme="minorEastAsia"/>
                <w:b/>
                <w:szCs w:val="21"/>
                <w:u w:val="single"/>
              </w:rPr>
              <w:t xml:space="preserve"> </w:t>
            </w:r>
            <w:r>
              <w:rPr>
                <w:rFonts w:hint="eastAsia" w:asciiTheme="minorEastAsia" w:hAnsiTheme="minorEastAsia" w:eastAsiaTheme="minorEastAsia"/>
                <w:b/>
                <w:szCs w:val="21"/>
              </w:rPr>
              <w:t>项，其余为未要求提供证明资料的条款，无需提供相关证明资料。</w:t>
            </w:r>
          </w:p>
          <w:p w14:paraId="3EA1640E">
            <w:pPr>
              <w:ind w:firstLine="422" w:firstLineChars="200"/>
              <w:rPr>
                <w:rFonts w:hint="eastAsia" w:asciiTheme="minorEastAsia" w:hAnsiTheme="minorEastAsia" w:eastAsiaTheme="minorEastAsia"/>
                <w:b/>
                <w:szCs w:val="21"/>
              </w:rPr>
            </w:pPr>
            <w:r>
              <w:rPr>
                <w:rFonts w:hint="eastAsia" w:asciiTheme="minorEastAsia" w:hAnsiTheme="minorEastAsia" w:eastAsiaTheme="minorEastAsia"/>
                <w:b/>
                <w:szCs w:val="21"/>
              </w:rPr>
              <w:t>3、评分时，如对一项招标技术要求（以划分框为准）中的内容存在两处（或以上）负偏离的，在评分时只作一项负偏离扣分。</w:t>
            </w:r>
          </w:p>
          <w:tbl>
            <w:tblPr>
              <w:tblStyle w:val="16"/>
              <w:tblpPr w:leftFromText="180" w:rightFromText="180" w:vertAnchor="text" w:horzAnchor="page" w:tblpX="258" w:tblpY="149"/>
              <w:tblOverlap w:val="never"/>
              <w:tblW w:w="84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6"/>
              <w:gridCol w:w="7093"/>
            </w:tblGrid>
            <w:tr w14:paraId="74012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326" w:type="dxa"/>
                  <w:tcBorders>
                    <w:top w:val="single" w:color="auto" w:sz="4" w:space="0"/>
                    <w:left w:val="single" w:color="auto" w:sz="4" w:space="0"/>
                    <w:bottom w:val="single" w:color="auto" w:sz="4" w:space="0"/>
                    <w:right w:val="single" w:color="auto" w:sz="4" w:space="0"/>
                  </w:tcBorders>
                  <w:noWrap w:val="0"/>
                  <w:vAlign w:val="center"/>
                </w:tcPr>
                <w:p w14:paraId="36CFA373">
                  <w:pPr>
                    <w:widowControl/>
                    <w:spacing w:before="100" w:beforeAutospacing="1" w:after="100" w:afterAutospacing="1"/>
                    <w:jc w:val="center"/>
                    <w:rPr>
                      <w:rFonts w:ascii="宋体" w:hAnsi="宋体" w:cs="宋体"/>
                      <w:color w:val="auto"/>
                      <w:kern w:val="0"/>
                      <w:sz w:val="24"/>
                      <w:szCs w:val="24"/>
                      <w:highlight w:val="yellow"/>
                    </w:rPr>
                  </w:pPr>
                  <w:r>
                    <w:rPr>
                      <w:rFonts w:hint="eastAsia" w:cs="宋体"/>
                      <w:color w:val="auto"/>
                      <w:kern w:val="0"/>
                      <w:sz w:val="24"/>
                      <w:szCs w:val="21"/>
                      <w:highlight w:val="yellow"/>
                      <w:lang w:eastAsia="zh-CN"/>
                    </w:rPr>
                    <w:t>设备</w:t>
                  </w:r>
                  <w:r>
                    <w:rPr>
                      <w:rFonts w:hint="eastAsia" w:cs="宋体"/>
                      <w:color w:val="auto"/>
                      <w:kern w:val="0"/>
                      <w:sz w:val="24"/>
                      <w:szCs w:val="21"/>
                      <w:highlight w:val="yellow"/>
                    </w:rPr>
                    <w:t>名称</w:t>
                  </w:r>
                </w:p>
              </w:tc>
              <w:tc>
                <w:tcPr>
                  <w:tcW w:w="7093" w:type="dxa"/>
                  <w:tcBorders>
                    <w:top w:val="single" w:color="auto" w:sz="4" w:space="0"/>
                    <w:left w:val="single" w:color="auto" w:sz="4" w:space="0"/>
                    <w:bottom w:val="single" w:color="auto" w:sz="4" w:space="0"/>
                    <w:right w:val="single" w:color="auto" w:sz="4" w:space="0"/>
                  </w:tcBorders>
                  <w:noWrap w:val="0"/>
                  <w:vAlign w:val="center"/>
                </w:tcPr>
                <w:p w14:paraId="579FF31D">
                  <w:pPr>
                    <w:widowControl/>
                    <w:spacing w:before="100" w:beforeAutospacing="1" w:after="100" w:afterAutospacing="1"/>
                    <w:jc w:val="center"/>
                    <w:rPr>
                      <w:rFonts w:ascii="宋体" w:hAnsi="宋体" w:cs="宋体"/>
                      <w:color w:val="auto"/>
                      <w:kern w:val="0"/>
                      <w:sz w:val="24"/>
                      <w:szCs w:val="24"/>
                      <w:highlight w:val="yellow"/>
                    </w:rPr>
                  </w:pPr>
                  <w:r>
                    <w:rPr>
                      <w:rFonts w:hint="eastAsia" w:cs="宋体"/>
                      <w:color w:val="auto"/>
                      <w:kern w:val="0"/>
                      <w:sz w:val="24"/>
                      <w:szCs w:val="21"/>
                      <w:highlight w:val="yellow"/>
                    </w:rPr>
                    <w:t>招标技术要求</w:t>
                  </w:r>
                </w:p>
              </w:tc>
            </w:tr>
            <w:tr w14:paraId="23B20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restart"/>
                  <w:tcBorders>
                    <w:top w:val="single" w:color="auto" w:sz="4" w:space="0"/>
                    <w:left w:val="single" w:color="auto" w:sz="4" w:space="0"/>
                    <w:right w:val="single" w:color="auto" w:sz="4" w:space="0"/>
                  </w:tcBorders>
                  <w:noWrap w:val="0"/>
                  <w:vAlign w:val="center"/>
                </w:tcPr>
                <w:p w14:paraId="7E47ECB6">
                  <w:pPr>
                    <w:jc w:val="left"/>
                    <w:rPr>
                      <w:rFonts w:hint="default" w:ascii="宋体" w:hAnsi="宋体" w:eastAsia="宋体" w:cs="宋体"/>
                      <w:color w:val="auto"/>
                      <w:kern w:val="0"/>
                      <w:szCs w:val="21"/>
                      <w:highlight w:val="yellow"/>
                      <w:lang w:val="en-US" w:eastAsia="zh-CN"/>
                    </w:rPr>
                  </w:pPr>
                  <w:r>
                    <w:rPr>
                      <w:rFonts w:hint="eastAsia" w:ascii="宋体" w:hAnsi="宋体" w:cs="宋体"/>
                      <w:color w:val="auto"/>
                      <w:kern w:val="0"/>
                      <w:szCs w:val="21"/>
                      <w:highlight w:val="yellow"/>
                      <w:lang w:val="en-US" w:eastAsia="zh-CN"/>
                    </w:rPr>
                    <w:t>紫外线光疗仪（308nm）</w:t>
                  </w:r>
                </w:p>
              </w:tc>
              <w:tc>
                <w:tcPr>
                  <w:tcW w:w="7093" w:type="dxa"/>
                  <w:tcBorders>
                    <w:top w:val="single" w:color="auto" w:sz="4" w:space="0"/>
                    <w:left w:val="single" w:color="auto" w:sz="4" w:space="0"/>
                    <w:bottom w:val="single" w:color="auto" w:sz="4" w:space="0"/>
                    <w:right w:val="single" w:color="auto" w:sz="4" w:space="0"/>
                  </w:tcBorders>
                  <w:noWrap w:val="0"/>
                  <w:vAlign w:val="top"/>
                </w:tcPr>
                <w:p w14:paraId="454BF35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highlight w:val="yellow"/>
                    </w:rPr>
                  </w:pPr>
                  <w:r>
                    <w:rPr>
                      <w:rFonts w:hint="eastAsia" w:ascii="宋体" w:hAnsi="宋体" w:eastAsia="宋体" w:cs="宋体"/>
                      <w:bCs/>
                      <w:sz w:val="21"/>
                      <w:szCs w:val="21"/>
                    </w:rPr>
                    <w:t>1、光源：氮化铝镓（AIGaN）</w:t>
                  </w:r>
                  <w:r>
                    <w:rPr>
                      <w:rFonts w:hint="eastAsia" w:ascii="宋体" w:hAnsi="宋体" w:eastAsia="宋体" w:cs="宋体"/>
                      <w:bCs/>
                      <w:sz w:val="21"/>
                      <w:szCs w:val="21"/>
                      <w:lang w:val="en-US" w:eastAsia="zh-CN"/>
                    </w:rPr>
                    <w:t>LED</w:t>
                  </w:r>
                  <w:r>
                    <w:rPr>
                      <w:rFonts w:hint="eastAsia" w:ascii="宋体" w:hAnsi="宋体" w:eastAsia="宋体" w:cs="宋体"/>
                      <w:bCs/>
                      <w:sz w:val="21"/>
                      <w:szCs w:val="21"/>
                    </w:rPr>
                    <w:t>芯片固态光源，阵列反射式光路设计，光谱纯净均匀，疗效显著；</w:t>
                  </w:r>
                </w:p>
              </w:tc>
            </w:tr>
            <w:tr w14:paraId="0726E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77ED2453">
                  <w:pPr>
                    <w:jc w:val="left"/>
                    <w:rPr>
                      <w:rFonts w:hint="eastAsia"/>
                      <w:color w:val="auto"/>
                      <w:szCs w:val="21"/>
                      <w:highlight w:val="yellow"/>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602D0D5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highlight w:val="yellow"/>
                    </w:rPr>
                  </w:pPr>
                  <w:r>
                    <w:rPr>
                      <w:rFonts w:hint="eastAsia" w:ascii="宋体" w:hAnsi="宋体" w:eastAsia="宋体" w:cs="宋体"/>
                      <w:bCs/>
                      <w:sz w:val="21"/>
                      <w:szCs w:val="21"/>
                    </w:rPr>
                    <w:t>2、光源的使用寿命≥</w:t>
                  </w:r>
                  <w:r>
                    <w:rPr>
                      <w:rFonts w:hint="eastAsia" w:ascii="宋体" w:hAnsi="宋体" w:cs="宋体"/>
                      <w:bCs/>
                      <w:sz w:val="21"/>
                      <w:szCs w:val="21"/>
                      <w:lang w:val="en-US" w:eastAsia="zh-CN"/>
                    </w:rPr>
                    <w:t>3</w:t>
                  </w:r>
                  <w:r>
                    <w:rPr>
                      <w:rFonts w:hint="eastAsia" w:ascii="宋体" w:hAnsi="宋体" w:eastAsia="宋体" w:cs="宋体"/>
                      <w:bCs/>
                      <w:sz w:val="21"/>
                      <w:szCs w:val="21"/>
                    </w:rPr>
                    <w:t>000小时，光源使用寿命</w:t>
                  </w:r>
                  <w:r>
                    <w:rPr>
                      <w:rFonts w:hint="eastAsia" w:ascii="宋体" w:hAnsi="宋体" w:cs="宋体"/>
                      <w:bCs/>
                      <w:sz w:val="21"/>
                      <w:szCs w:val="21"/>
                      <w:lang w:eastAsia="zh-CN"/>
                    </w:rPr>
                    <w:t>长</w:t>
                  </w:r>
                  <w:r>
                    <w:rPr>
                      <w:rFonts w:hint="eastAsia" w:ascii="宋体" w:hAnsi="宋体" w:eastAsia="宋体" w:cs="宋体"/>
                      <w:bCs/>
                      <w:sz w:val="21"/>
                      <w:szCs w:val="21"/>
                    </w:rPr>
                    <w:t>大大降低了治疗成本；</w:t>
                  </w:r>
                </w:p>
              </w:tc>
            </w:tr>
            <w:tr w14:paraId="68BF4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2F76D197">
                  <w:pPr>
                    <w:jc w:val="left"/>
                    <w:rPr>
                      <w:rFonts w:hint="eastAsia"/>
                      <w:color w:val="auto"/>
                      <w:szCs w:val="21"/>
                      <w:highlight w:val="yellow"/>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51E59DD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highlight w:val="yellow"/>
                    </w:rPr>
                  </w:pPr>
                  <w:r>
                    <w:rPr>
                      <w:rFonts w:hint="eastAsia" w:ascii="宋体" w:hAnsi="宋体" w:cs="宋体"/>
                      <w:bCs/>
                      <w:sz w:val="21"/>
                      <w:szCs w:val="21"/>
                      <w:lang w:val="en-US" w:eastAsia="zh-CN"/>
                    </w:rPr>
                    <w:t>3、</w:t>
                  </w:r>
                  <w:r>
                    <w:rPr>
                      <w:rFonts w:hint="eastAsia" w:ascii="宋体" w:hAnsi="宋体" w:eastAsia="宋体" w:cs="宋体"/>
                      <w:bCs/>
                      <w:sz w:val="21"/>
                      <w:szCs w:val="21"/>
                    </w:rPr>
                    <w:t>采用集成的直接贴片COB封装，基板及特殊的分子架构，提升光源效率；采用薄膜倒装技术和导热基板设计，确保散热效率；</w:t>
                  </w:r>
                </w:p>
              </w:tc>
            </w:tr>
            <w:tr w14:paraId="4CECD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32E5BC98">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681F3B3D">
                  <w:pPr>
                    <w:pStyle w:val="2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bCs/>
                      <w:sz w:val="21"/>
                      <w:szCs w:val="21"/>
                    </w:rPr>
                    <w:t>▲</w:t>
                  </w:r>
                  <w:r>
                    <w:rPr>
                      <w:rFonts w:hint="eastAsia" w:ascii="宋体" w:hAnsi="宋体" w:eastAsia="宋体" w:cs="宋体"/>
                      <w:bCs/>
                      <w:kern w:val="0"/>
                      <w:sz w:val="21"/>
                      <w:szCs w:val="21"/>
                      <w:lang w:val="en-US" w:eastAsia="zh-CN" w:bidi="ar-SA"/>
                    </w:rPr>
                    <w:t>4、具有可视化观察窗，不透紫外线只透可见光，保证了光疗仪操作人员可安全的观察皮损治疗情况；（需提供观察窗专利证书）</w:t>
                  </w:r>
                </w:p>
              </w:tc>
            </w:tr>
            <w:tr w14:paraId="04AD0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4B201818">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7869086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bCs/>
                      <w:sz w:val="21"/>
                      <w:szCs w:val="21"/>
                      <w:lang w:val="en-US" w:eastAsia="zh-CN"/>
                    </w:rPr>
                    <w:t>5、</w:t>
                  </w:r>
                  <w:r>
                    <w:rPr>
                      <w:rFonts w:hint="eastAsia" w:ascii="宋体" w:hAnsi="宋体" w:eastAsia="宋体" w:cs="宋体"/>
                      <w:bCs/>
                      <w:sz w:val="21"/>
                      <w:szCs w:val="21"/>
                    </w:rPr>
                    <w:t>摒弃了传统脚踏式治疗操作，采用更方便灵巧的手柄按键操作；</w:t>
                  </w:r>
                </w:p>
              </w:tc>
            </w:tr>
            <w:tr w14:paraId="09978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40654180">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3ABB560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1"/>
                      <w:szCs w:val="21"/>
                    </w:rPr>
                  </w:pPr>
                  <w:r>
                    <w:rPr>
                      <w:rFonts w:hint="eastAsia" w:ascii="宋体" w:hAnsi="宋体" w:eastAsia="宋体" w:cs="宋体"/>
                      <w:bCs/>
                      <w:sz w:val="21"/>
                      <w:szCs w:val="21"/>
                    </w:rPr>
                    <w:t>▲</w:t>
                  </w:r>
                  <w:r>
                    <w:rPr>
                      <w:rFonts w:hint="eastAsia" w:ascii="宋体" w:hAnsi="宋体" w:eastAsia="宋体" w:cs="宋体"/>
                      <w:bCs/>
                      <w:sz w:val="21"/>
                      <w:szCs w:val="21"/>
                      <w:lang w:val="en-US" w:eastAsia="zh-CN"/>
                    </w:rPr>
                    <w:t>6</w:t>
                  </w:r>
                  <w:r>
                    <w:rPr>
                      <w:rFonts w:hint="eastAsia" w:ascii="宋体" w:hAnsi="宋体" w:eastAsia="宋体" w:cs="宋体"/>
                      <w:bCs/>
                      <w:sz w:val="21"/>
                      <w:szCs w:val="21"/>
                    </w:rPr>
                    <w:t>、治疗手柄</w:t>
                  </w:r>
                  <w:r>
                    <w:rPr>
                      <w:rFonts w:hint="eastAsia" w:ascii="宋体" w:hAnsi="宋体" w:cs="宋体"/>
                      <w:bCs/>
                      <w:sz w:val="21"/>
                      <w:szCs w:val="21"/>
                      <w:lang w:eastAsia="zh-CN"/>
                    </w:rPr>
                    <w:t>至少</w:t>
                  </w:r>
                  <w:r>
                    <w:rPr>
                      <w:rFonts w:hint="eastAsia" w:ascii="宋体" w:hAnsi="宋体" w:eastAsia="宋体" w:cs="宋体"/>
                      <w:bCs/>
                      <w:sz w:val="21"/>
                      <w:szCs w:val="21"/>
                    </w:rPr>
                    <w:t>包含了</w:t>
                  </w:r>
                  <w:r>
                    <w:rPr>
                      <w:rFonts w:hint="eastAsia" w:ascii="宋体" w:hAnsi="宋体" w:eastAsia="宋体" w:cs="宋体"/>
                      <w:bCs/>
                      <w:sz w:val="21"/>
                      <w:szCs w:val="21"/>
                      <w:lang w:val="en-US" w:eastAsia="zh-CN"/>
                    </w:rPr>
                    <w:t>6种</w:t>
                  </w:r>
                  <w:r>
                    <w:rPr>
                      <w:rFonts w:hint="eastAsia" w:ascii="宋体" w:hAnsi="宋体" w:eastAsia="宋体" w:cs="宋体"/>
                      <w:bCs/>
                      <w:sz w:val="21"/>
                      <w:szCs w:val="21"/>
                    </w:rPr>
                    <w:t>出光头，可连接测定出光头或治疗出光头，</w:t>
                  </w:r>
                  <w:r>
                    <w:rPr>
                      <w:rFonts w:hint="eastAsia" w:ascii="宋体" w:hAnsi="宋体" w:cs="宋体"/>
                      <w:bCs/>
                      <w:sz w:val="21"/>
                      <w:szCs w:val="21"/>
                      <w:lang w:val="en-US" w:eastAsia="zh-CN"/>
                    </w:rPr>
                    <w:t>套至</w:t>
                  </w:r>
                  <w:r>
                    <w:rPr>
                      <w:rFonts w:hint="eastAsia" w:ascii="宋体" w:hAnsi="宋体" w:eastAsia="宋体" w:cs="宋体"/>
                      <w:bCs/>
                      <w:sz w:val="21"/>
                      <w:szCs w:val="21"/>
                    </w:rPr>
                    <w:t>即可更换；</w:t>
                  </w:r>
                  <w:r>
                    <w:rPr>
                      <w:rFonts w:hint="eastAsia" w:ascii="宋体" w:hAnsi="宋体" w:eastAsia="宋体" w:cs="宋体"/>
                      <w:bCs/>
                      <w:sz w:val="21"/>
                      <w:szCs w:val="21"/>
                      <w:lang w:val="en-US" w:eastAsia="zh-CN"/>
                    </w:rPr>
                    <w:t>单位cm：</w:t>
                  </w:r>
                  <w:r>
                    <w:rPr>
                      <w:rFonts w:hint="eastAsia" w:ascii="宋体" w:hAnsi="宋体" w:eastAsia="宋体" w:cs="宋体"/>
                      <w:bCs/>
                      <w:sz w:val="21"/>
                      <w:szCs w:val="21"/>
                    </w:rPr>
                    <w:t>1</w:t>
                  </w:r>
                  <w:r>
                    <w:rPr>
                      <w:rFonts w:hint="eastAsia" w:ascii="宋体" w:hAnsi="宋体" w:eastAsia="宋体" w:cs="宋体"/>
                      <w:bCs/>
                      <w:sz w:val="21"/>
                      <w:szCs w:val="21"/>
                      <w:lang w:val="en-US" w:eastAsia="zh-CN"/>
                    </w:rPr>
                    <w:t>.5</w:t>
                  </w:r>
                  <w:r>
                    <w:rPr>
                      <w:rFonts w:hint="eastAsia" w:ascii="宋体" w:hAnsi="宋体" w:eastAsia="宋体" w:cs="宋体"/>
                      <w:bCs/>
                      <w:sz w:val="21"/>
                      <w:szCs w:val="21"/>
                    </w:rPr>
                    <w:t>x1</w:t>
                  </w:r>
                  <w:r>
                    <w:rPr>
                      <w:rFonts w:hint="eastAsia" w:ascii="宋体" w:hAnsi="宋体" w:eastAsia="宋体" w:cs="宋体"/>
                      <w:bCs/>
                      <w:sz w:val="21"/>
                      <w:szCs w:val="21"/>
                      <w:lang w:val="en-US" w:eastAsia="zh-CN"/>
                    </w:rPr>
                    <w:t>.5</w:t>
                  </w:r>
                  <w:r>
                    <w:rPr>
                      <w:rFonts w:hint="eastAsia" w:ascii="宋体" w:hAnsi="宋体" w:eastAsia="宋体" w:cs="宋体"/>
                      <w:bCs/>
                      <w:sz w:val="21"/>
                      <w:szCs w:val="21"/>
                    </w:rPr>
                    <w:t>/3x3/3x4/6</w:t>
                  </w:r>
                  <w:r>
                    <w:rPr>
                      <w:rFonts w:hint="eastAsia" w:ascii="宋体" w:hAnsi="宋体" w:cs="宋体"/>
                      <w:bCs/>
                      <w:sz w:val="21"/>
                      <w:szCs w:val="21"/>
                      <w:lang w:val="en-US" w:eastAsia="zh-CN"/>
                    </w:rPr>
                    <w:t>.2</w:t>
                  </w:r>
                  <w:r>
                    <w:rPr>
                      <w:rFonts w:hint="eastAsia" w:ascii="宋体" w:hAnsi="宋体" w:eastAsia="宋体" w:cs="宋体"/>
                      <w:bCs/>
                      <w:sz w:val="21"/>
                      <w:szCs w:val="21"/>
                    </w:rPr>
                    <w:t>x4/直径2cm圆形/直径3cm圆形</w:t>
                  </w:r>
                </w:p>
              </w:tc>
            </w:tr>
            <w:tr w14:paraId="73E0D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5E912CED">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1AE2568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1"/>
                      <w:szCs w:val="21"/>
                    </w:rPr>
                  </w:pPr>
                  <w:r>
                    <w:rPr>
                      <w:rFonts w:hint="eastAsia" w:ascii="宋体" w:hAnsi="宋体" w:eastAsia="宋体" w:cs="宋体"/>
                      <w:bCs/>
                      <w:sz w:val="21"/>
                      <w:szCs w:val="21"/>
                      <w:lang w:val="en-US" w:eastAsia="zh-CN"/>
                    </w:rPr>
                    <w:t>7</w:t>
                  </w:r>
                  <w:r>
                    <w:rPr>
                      <w:rFonts w:hint="eastAsia" w:ascii="宋体" w:hAnsi="宋体" w:eastAsia="宋体" w:cs="宋体"/>
                      <w:bCs/>
                      <w:sz w:val="21"/>
                      <w:szCs w:val="21"/>
                    </w:rPr>
                    <w:t>、任意照射面积，多种硅胶片形式组合搭配，安全无重复，手柄一键式擦作，符合人体柔性照射；</w:t>
                  </w:r>
                </w:p>
              </w:tc>
            </w:tr>
            <w:tr w14:paraId="03B64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2130E429">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4B5CE096">
                  <w:pPr>
                    <w:pStyle w:val="2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bCs/>
                      <w:sz w:val="21"/>
                      <w:szCs w:val="21"/>
                      <w:lang w:val="en-US" w:eastAsia="zh-CN"/>
                    </w:rPr>
                    <w:t>8</w:t>
                  </w:r>
                  <w:r>
                    <w:rPr>
                      <w:rFonts w:hint="eastAsia" w:ascii="宋体" w:hAnsi="宋体" w:eastAsia="宋体" w:cs="宋体"/>
                      <w:bCs/>
                      <w:sz w:val="21"/>
                      <w:szCs w:val="21"/>
                    </w:rPr>
                    <w:t>、专用MED测定贴片，照射定位和数据记录同时完成；</w:t>
                  </w:r>
                  <w:r>
                    <w:rPr>
                      <w:rFonts w:hint="eastAsia" w:ascii="宋体" w:hAnsi="宋体" w:eastAsia="宋体" w:cs="宋体"/>
                      <w:kern w:val="0"/>
                      <w:sz w:val="21"/>
                      <w:szCs w:val="21"/>
                      <w:lang w:val="en-US" w:eastAsia="zh-CN"/>
                    </w:rPr>
                    <w:t>让</w:t>
                  </w:r>
                  <w:r>
                    <w:rPr>
                      <w:rFonts w:hint="eastAsia" w:ascii="宋体" w:hAnsi="宋体" w:eastAsia="宋体" w:cs="宋体"/>
                      <w:kern w:val="0"/>
                      <w:sz w:val="21"/>
                      <w:szCs w:val="21"/>
                    </w:rPr>
                    <w:t>MED测定</w:t>
                  </w:r>
                  <w:r>
                    <w:rPr>
                      <w:rFonts w:hint="eastAsia" w:ascii="宋体" w:hAnsi="宋体" w:eastAsia="宋体" w:cs="宋体"/>
                      <w:kern w:val="0"/>
                      <w:sz w:val="21"/>
                      <w:szCs w:val="21"/>
                      <w:lang w:val="en-US" w:eastAsia="zh-CN"/>
                    </w:rPr>
                    <w:t>方便简捷，并可录入设备，永久保存</w:t>
                  </w:r>
                  <w:r>
                    <w:rPr>
                      <w:rFonts w:hint="eastAsia" w:ascii="宋体" w:hAnsi="宋体" w:eastAsia="宋体" w:cs="宋体"/>
                      <w:kern w:val="0"/>
                      <w:sz w:val="21"/>
                      <w:szCs w:val="21"/>
                    </w:rPr>
                    <w:t>；</w:t>
                  </w:r>
                </w:p>
              </w:tc>
            </w:tr>
            <w:tr w14:paraId="07EF9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0BF4D942">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0CCEF53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1"/>
                      <w:szCs w:val="21"/>
                    </w:rPr>
                  </w:pPr>
                  <w:r>
                    <w:rPr>
                      <w:rFonts w:hint="eastAsia" w:ascii="宋体" w:hAnsi="宋体" w:eastAsia="宋体" w:cs="宋体"/>
                      <w:bCs/>
                      <w:sz w:val="21"/>
                      <w:szCs w:val="21"/>
                    </w:rPr>
                    <w:t>▲</w:t>
                  </w:r>
                  <w:r>
                    <w:rPr>
                      <w:rFonts w:hint="eastAsia" w:ascii="宋体" w:hAnsi="宋体" w:eastAsia="宋体" w:cs="宋体"/>
                      <w:bCs/>
                      <w:sz w:val="21"/>
                      <w:szCs w:val="21"/>
                      <w:lang w:val="en-US" w:eastAsia="zh-CN"/>
                    </w:rPr>
                    <w:t>9</w:t>
                  </w:r>
                  <w:r>
                    <w:rPr>
                      <w:rFonts w:hint="eastAsia" w:ascii="宋体" w:hAnsi="宋体" w:eastAsia="宋体" w:cs="宋体"/>
                      <w:bCs/>
                      <w:sz w:val="21"/>
                      <w:szCs w:val="21"/>
                    </w:rPr>
                    <w:t>、触摸屏</w:t>
                  </w:r>
                  <w:r>
                    <w:rPr>
                      <w:rFonts w:hint="eastAsia" w:ascii="宋体" w:hAnsi="宋体" w:eastAsia="宋体" w:cs="宋体"/>
                      <w:bCs/>
                      <w:sz w:val="21"/>
                      <w:szCs w:val="21"/>
                      <w:lang w:val="en-US" w:eastAsia="zh-CN"/>
                    </w:rPr>
                    <w:t>尺寸≥</w:t>
                  </w:r>
                  <w:r>
                    <w:rPr>
                      <w:rFonts w:hint="eastAsia" w:ascii="宋体" w:hAnsi="宋体" w:eastAsia="宋体" w:cs="宋体"/>
                      <w:bCs/>
                      <w:sz w:val="21"/>
                      <w:szCs w:val="21"/>
                    </w:rPr>
                    <w:t>12.1寸</w:t>
                  </w:r>
                </w:p>
              </w:tc>
            </w:tr>
            <w:tr w14:paraId="27655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54B92DAD">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4B13566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1"/>
                      <w:szCs w:val="21"/>
                    </w:rPr>
                  </w:pPr>
                  <w:r>
                    <w:rPr>
                      <w:rFonts w:hint="eastAsia" w:ascii="宋体" w:hAnsi="宋体" w:eastAsia="宋体" w:cs="宋体"/>
                      <w:bCs/>
                      <w:sz w:val="21"/>
                      <w:szCs w:val="21"/>
                      <w:lang w:val="en-US" w:eastAsia="zh-CN"/>
                    </w:rPr>
                    <w:t>10、</w:t>
                  </w:r>
                  <w:r>
                    <w:rPr>
                      <w:rFonts w:hint="eastAsia" w:ascii="宋体" w:hAnsi="宋体" w:cs="宋体"/>
                      <w:bCs/>
                      <w:sz w:val="21"/>
                      <w:szCs w:val="21"/>
                      <w:lang w:val="en-US" w:eastAsia="zh-CN"/>
                    </w:rPr>
                    <w:t>24平方厘米≤</w:t>
                  </w:r>
                  <w:r>
                    <w:rPr>
                      <w:rFonts w:hint="eastAsia" w:ascii="宋体" w:hAnsi="宋体" w:eastAsia="宋体" w:cs="宋体"/>
                      <w:bCs/>
                      <w:sz w:val="21"/>
                      <w:szCs w:val="21"/>
                      <w:lang w:val="en-US"/>
                    </w:rPr>
                    <w:t>手柄最大照射面积</w:t>
                  </w:r>
                  <w:r>
                    <w:rPr>
                      <w:rFonts w:hint="eastAsia" w:ascii="宋体" w:hAnsi="宋体" w:cs="宋体"/>
                      <w:bCs/>
                      <w:sz w:val="21"/>
                      <w:szCs w:val="21"/>
                      <w:lang w:val="en-US" w:eastAsia="zh-CN"/>
                    </w:rPr>
                    <w:t>≤25</w:t>
                  </w:r>
                  <w:r>
                    <w:rPr>
                      <w:rFonts w:hint="eastAsia" w:ascii="宋体" w:hAnsi="宋体" w:eastAsia="宋体" w:cs="宋体"/>
                      <w:bCs/>
                      <w:sz w:val="21"/>
                      <w:szCs w:val="21"/>
                      <w:lang w:val="en-US"/>
                    </w:rPr>
                    <w:t>平方厘米，既保证操作便捷性，又保证手柄轻便便携性，满足腋窝等特殊部位的光疗。</w:t>
                  </w:r>
                </w:p>
              </w:tc>
            </w:tr>
            <w:tr w14:paraId="135AC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3DB0B407">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5AF62E27">
                  <w:pPr>
                    <w:pStyle w:val="2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kern w:val="0"/>
                      <w:sz w:val="21"/>
                      <w:szCs w:val="21"/>
                      <w:lang w:val="en-US" w:eastAsia="zh-CN"/>
                    </w:rPr>
                    <w:t>11、患者治疗管理系统，可存储病例记录；</w:t>
                  </w:r>
                </w:p>
              </w:tc>
            </w:tr>
            <w:tr w14:paraId="39AFF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50D6C995">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0249FDAF">
                  <w:pPr>
                    <w:pStyle w:val="2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kern w:val="0"/>
                      <w:sz w:val="21"/>
                      <w:szCs w:val="21"/>
                      <w:lang w:val="en-US" w:eastAsia="zh-CN"/>
                    </w:rPr>
                    <w:t>12、</w:t>
                  </w:r>
                  <w:r>
                    <w:rPr>
                      <w:rFonts w:hint="eastAsia" w:ascii="宋体" w:hAnsi="宋体" w:eastAsia="宋体" w:cs="宋体"/>
                      <w:kern w:val="0"/>
                      <w:sz w:val="21"/>
                      <w:szCs w:val="21"/>
                    </w:rPr>
                    <w:t>安全设计：不同于传统308nm紫外光的持续高压作业，采用了低压设计，水温、水流、电流报警提示功能保证了治疗过程中的安全；</w:t>
                  </w:r>
                </w:p>
              </w:tc>
            </w:tr>
            <w:tr w14:paraId="16763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76766C48">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3F007AA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1"/>
                      <w:szCs w:val="21"/>
                    </w:rPr>
                  </w:pPr>
                  <w:r>
                    <w:rPr>
                      <w:rFonts w:hint="eastAsia" w:ascii="宋体" w:hAnsi="宋体" w:eastAsia="宋体" w:cs="宋体"/>
                      <w:b w:val="0"/>
                      <w:bCs/>
                      <w:color w:val="000000" w:themeColor="text1"/>
                      <w:sz w:val="21"/>
                      <w:szCs w:val="21"/>
                      <w:lang w:val="en-US" w:eastAsia="zh-CN"/>
                      <w14:textFill>
                        <w14:solidFill>
                          <w14:schemeClr w14:val="tx1"/>
                        </w14:solidFill>
                      </w14:textFill>
                    </w:rPr>
                    <w:t>1</w:t>
                  </w:r>
                  <w:r>
                    <w:rPr>
                      <w:rFonts w:hint="eastAsia" w:ascii="宋体" w:hAnsi="宋体" w:cs="宋体"/>
                      <w:b w:val="0"/>
                      <w:bCs/>
                      <w:color w:val="000000" w:themeColor="text1"/>
                      <w:sz w:val="21"/>
                      <w:szCs w:val="21"/>
                      <w:lang w:val="en-US" w:eastAsia="zh-CN"/>
                      <w14:textFill>
                        <w14:solidFill>
                          <w14:schemeClr w14:val="tx1"/>
                        </w14:solidFill>
                      </w14:textFill>
                    </w:rPr>
                    <w:t>3</w:t>
                  </w:r>
                  <w:r>
                    <w:rPr>
                      <w:rFonts w:hint="eastAsia" w:ascii="宋体" w:hAnsi="宋体" w:eastAsia="宋体" w:cs="宋体"/>
                      <w:b w:val="0"/>
                      <w:bCs/>
                      <w:color w:val="000000" w:themeColor="text1"/>
                      <w:kern w:val="0"/>
                      <w:sz w:val="21"/>
                      <w:szCs w:val="21"/>
                      <w:lang w:val="en-US" w:eastAsia="zh-CN"/>
                      <w14:textFill>
                        <w14:solidFill>
                          <w14:schemeClr w14:val="tx1"/>
                        </w14:solidFill>
                      </w14:textFill>
                    </w:rPr>
                    <w:t>、</w:t>
                  </w:r>
                  <w:r>
                    <w:rPr>
                      <w:rFonts w:hint="eastAsia" w:ascii="宋体" w:hAnsi="宋体" w:eastAsia="宋体" w:cs="宋体"/>
                      <w:b w:val="0"/>
                      <w:bCs/>
                      <w:color w:val="000000" w:themeColor="text1"/>
                      <w:sz w:val="21"/>
                      <w:szCs w:val="21"/>
                      <w14:textFill>
                        <w14:solidFill>
                          <w14:schemeClr w14:val="tx1"/>
                        </w14:solidFill>
                      </w14:textFill>
                    </w:rPr>
                    <w:t>机身中间设计人性化储物抽屉，方便</w:t>
                  </w:r>
                  <w:r>
                    <w:rPr>
                      <w:rFonts w:hint="eastAsia" w:ascii="宋体" w:hAnsi="宋体" w:eastAsia="宋体" w:cs="宋体"/>
                      <w:b w:val="0"/>
                      <w:bCs/>
                      <w:color w:val="000000" w:themeColor="text1"/>
                      <w:sz w:val="21"/>
                      <w:szCs w:val="21"/>
                      <w:lang w:val="en-US" w:eastAsia="zh-CN"/>
                      <w14:textFill>
                        <w14:solidFill>
                          <w14:schemeClr w14:val="tx1"/>
                        </w14:solidFill>
                      </w14:textFill>
                    </w:rPr>
                    <w:t>医务人员放置护目镜等配件物品</w:t>
                  </w:r>
                </w:p>
              </w:tc>
            </w:tr>
            <w:tr w14:paraId="2AB12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1C1FC57D">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3F70D9A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1"/>
                      <w:szCs w:val="21"/>
                    </w:rPr>
                  </w:pPr>
                  <w:r>
                    <w:rPr>
                      <w:rFonts w:hint="eastAsia" w:ascii="宋体" w:hAnsi="宋体" w:eastAsia="宋体" w:cs="宋体"/>
                      <w:b w:val="0"/>
                      <w:bCs/>
                      <w:color w:val="000000" w:themeColor="text1"/>
                      <w:sz w:val="21"/>
                      <w:szCs w:val="21"/>
                      <w:lang w:val="en-US" w:eastAsia="zh-CN"/>
                      <w14:textFill>
                        <w14:solidFill>
                          <w14:schemeClr w14:val="tx1"/>
                        </w14:solidFill>
                      </w14:textFill>
                    </w:rPr>
                    <w:t>1</w:t>
                  </w:r>
                  <w:r>
                    <w:rPr>
                      <w:rFonts w:hint="eastAsia" w:ascii="宋体" w:hAnsi="宋体" w:cs="宋体"/>
                      <w:b w:val="0"/>
                      <w:bCs/>
                      <w:color w:val="000000" w:themeColor="text1"/>
                      <w:sz w:val="21"/>
                      <w:szCs w:val="21"/>
                      <w:lang w:val="en-US" w:eastAsia="zh-CN"/>
                      <w14:textFill>
                        <w14:solidFill>
                          <w14:schemeClr w14:val="tx1"/>
                        </w14:solidFill>
                      </w14:textFill>
                    </w:rPr>
                    <w:t>4</w:t>
                  </w:r>
                  <w:r>
                    <w:rPr>
                      <w:rFonts w:hint="eastAsia" w:ascii="宋体" w:hAnsi="宋体" w:eastAsia="宋体" w:cs="宋体"/>
                      <w:b w:val="0"/>
                      <w:bCs/>
                      <w:color w:val="000000" w:themeColor="text1"/>
                      <w:sz w:val="21"/>
                      <w:szCs w:val="21"/>
                      <w:lang w:val="en-US" w:eastAsia="zh-CN"/>
                      <w14:textFill>
                        <w14:solidFill>
                          <w14:schemeClr w14:val="tx1"/>
                        </w14:solidFill>
                      </w14:textFill>
                    </w:rPr>
                    <w:t>、机器设有</w:t>
                  </w:r>
                  <w:r>
                    <w:rPr>
                      <w:rFonts w:hint="eastAsia" w:ascii="宋体" w:hAnsi="宋体" w:eastAsia="宋体" w:cs="宋体"/>
                      <w:b w:val="0"/>
                      <w:bCs/>
                      <w:color w:val="000000" w:themeColor="text1"/>
                      <w:sz w:val="21"/>
                      <w:szCs w:val="21"/>
                      <w14:textFill>
                        <w14:solidFill>
                          <w14:schemeClr w14:val="tx1"/>
                        </w14:solidFill>
                      </w14:textFill>
                    </w:rPr>
                    <w:t>推拉把手，行动自如</w:t>
                  </w:r>
                  <w:r>
                    <w:rPr>
                      <w:rFonts w:hint="eastAsia" w:ascii="宋体" w:hAnsi="宋体" w:eastAsia="宋体" w:cs="宋体"/>
                      <w:b w:val="0"/>
                      <w:bCs/>
                      <w:color w:val="000000" w:themeColor="text1"/>
                      <w:sz w:val="21"/>
                      <w:szCs w:val="21"/>
                      <w:lang w:eastAsia="zh-CN"/>
                      <w14:textFill>
                        <w14:solidFill>
                          <w14:schemeClr w14:val="tx1"/>
                        </w14:solidFill>
                      </w14:textFill>
                    </w:rPr>
                    <w:t>，</w:t>
                  </w:r>
                  <w:r>
                    <w:rPr>
                      <w:rFonts w:hint="eastAsia" w:ascii="宋体" w:hAnsi="宋体" w:eastAsia="宋体" w:cs="宋体"/>
                      <w:b w:val="0"/>
                      <w:bCs/>
                      <w:color w:val="000000" w:themeColor="text1"/>
                      <w:sz w:val="21"/>
                      <w:szCs w:val="21"/>
                      <w:lang w:val="en-US" w:eastAsia="zh-CN"/>
                      <w14:textFill>
                        <w14:solidFill>
                          <w14:schemeClr w14:val="tx1"/>
                        </w14:solidFill>
                      </w14:textFill>
                    </w:rPr>
                    <w:t>方便医务人员移动机器。</w:t>
                  </w:r>
                </w:p>
              </w:tc>
            </w:tr>
            <w:tr w14:paraId="6FB59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63C7CDFB">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3FE76155">
                  <w:pPr>
                    <w:pStyle w:val="27"/>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s="宋体"/>
                      <w:color w:val="000000"/>
                      <w:sz w:val="21"/>
                      <w:szCs w:val="21"/>
                    </w:rPr>
                  </w:pPr>
                  <w:r>
                    <w:rPr>
                      <w:rFonts w:hint="eastAsia" w:ascii="宋体" w:hAnsi="宋体" w:eastAsia="宋体" w:cs="宋体"/>
                      <w:color w:val="000000" w:themeColor="text1"/>
                      <w:kern w:val="0"/>
                      <w:sz w:val="21"/>
                      <w:szCs w:val="21"/>
                      <w:lang w:val="en-US" w:eastAsia="zh-CN"/>
                      <w14:textFill>
                        <w14:solidFill>
                          <w14:schemeClr w14:val="tx1"/>
                        </w14:solidFill>
                      </w14:textFill>
                    </w:rPr>
                    <w:t>15、具有专利证书的航空级循环冷却系统，保证了高强度光源的波长稳定性和超长寿使用寿命；（需提供冷却系统证书）</w:t>
                  </w:r>
                </w:p>
              </w:tc>
            </w:tr>
            <w:tr w14:paraId="38BA1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54288C9F">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7F7B000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1"/>
                      <w:szCs w:val="21"/>
                    </w:rPr>
                  </w:pPr>
                  <w:r>
                    <w:rPr>
                      <w:rFonts w:hint="eastAsia" w:ascii="宋体" w:hAnsi="宋体" w:eastAsia="宋体" w:cs="宋体"/>
                      <w:bCs/>
                      <w:color w:val="000000" w:themeColor="text1"/>
                      <w:sz w:val="21"/>
                      <w:szCs w:val="21"/>
                      <w:lang w:val="en-US" w:eastAsia="zh-CN"/>
                      <w14:textFill>
                        <w14:solidFill>
                          <w14:schemeClr w14:val="tx1"/>
                        </w14:solidFill>
                      </w14:textFill>
                    </w:rPr>
                    <w:t>1</w:t>
                  </w:r>
                  <w:r>
                    <w:rPr>
                      <w:rFonts w:hint="eastAsia" w:ascii="宋体" w:hAnsi="宋体" w:cs="宋体"/>
                      <w:bCs/>
                      <w:color w:val="000000" w:themeColor="text1"/>
                      <w:sz w:val="21"/>
                      <w:szCs w:val="21"/>
                      <w:lang w:val="en-US" w:eastAsia="zh-CN"/>
                      <w14:textFill>
                        <w14:solidFill>
                          <w14:schemeClr w14:val="tx1"/>
                        </w14:solidFill>
                      </w14:textFill>
                    </w:rPr>
                    <w:t>6</w:t>
                  </w:r>
                  <w:r>
                    <w:rPr>
                      <w:rFonts w:hint="eastAsia" w:ascii="宋体" w:hAnsi="宋体" w:eastAsia="宋体" w:cs="宋体"/>
                      <w:bCs/>
                      <w:color w:val="000000" w:themeColor="text1"/>
                      <w:sz w:val="21"/>
                      <w:szCs w:val="21"/>
                      <w:lang w:val="en-US" w:eastAsia="zh-CN"/>
                      <w14:textFill>
                        <w14:solidFill>
                          <w14:schemeClr w14:val="tx1"/>
                        </w14:solidFill>
                      </w14:textFill>
                    </w:rPr>
                    <w:t>、</w:t>
                  </w:r>
                  <w:r>
                    <w:rPr>
                      <w:rFonts w:hint="eastAsia" w:ascii="宋体" w:hAnsi="宋体" w:eastAsia="宋体" w:cs="宋体"/>
                      <w:bCs/>
                      <w:color w:val="000000" w:themeColor="text1"/>
                      <w:sz w:val="21"/>
                      <w:szCs w:val="21"/>
                      <w14:textFill>
                        <w14:solidFill>
                          <w14:schemeClr w14:val="tx1"/>
                        </w14:solidFill>
                      </w14:textFill>
                    </w:rPr>
                    <w:t>峰值波长（nm）：308±2</w:t>
                  </w:r>
                </w:p>
              </w:tc>
            </w:tr>
            <w:tr w14:paraId="0DF25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40F9CBF1">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564E429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1"/>
                      <w:szCs w:val="21"/>
                    </w:rPr>
                  </w:pPr>
                  <w:r>
                    <w:rPr>
                      <w:rFonts w:hint="eastAsia" w:ascii="宋体" w:hAnsi="宋体" w:eastAsia="宋体" w:cs="宋体"/>
                      <w:bCs/>
                      <w:color w:val="000000" w:themeColor="text1"/>
                      <w:sz w:val="21"/>
                      <w:szCs w:val="21"/>
                      <w14:textFill>
                        <w14:solidFill>
                          <w14:schemeClr w14:val="tx1"/>
                        </w14:solidFill>
                      </w14:textFill>
                    </w:rPr>
                    <w:t>1</w:t>
                  </w:r>
                  <w:r>
                    <w:rPr>
                      <w:rFonts w:hint="eastAsia" w:ascii="宋体" w:hAnsi="宋体" w:cs="宋体"/>
                      <w:bCs/>
                      <w:color w:val="000000" w:themeColor="text1"/>
                      <w:sz w:val="21"/>
                      <w:szCs w:val="21"/>
                      <w:lang w:val="en-US" w:eastAsia="zh-CN"/>
                      <w14:textFill>
                        <w14:solidFill>
                          <w14:schemeClr w14:val="tx1"/>
                        </w14:solidFill>
                      </w14:textFill>
                    </w:rPr>
                    <w:t>7</w:t>
                  </w:r>
                  <w:r>
                    <w:rPr>
                      <w:rFonts w:hint="eastAsia" w:ascii="宋体" w:hAnsi="宋体" w:eastAsia="宋体" w:cs="宋体"/>
                      <w:bCs/>
                      <w:color w:val="000000" w:themeColor="text1"/>
                      <w:sz w:val="21"/>
                      <w:szCs w:val="21"/>
                      <w14:textFill>
                        <w14:solidFill>
                          <w14:schemeClr w14:val="tx1"/>
                        </w14:solidFill>
                      </w14:textFill>
                    </w:rPr>
                    <w:t>、手柄输出接口：治疗出光头+MED测定出光头</w:t>
                  </w:r>
                </w:p>
              </w:tc>
            </w:tr>
            <w:tr w14:paraId="1B102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1ED9C4A3">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3D6E53C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1"/>
                      <w:szCs w:val="21"/>
                    </w:rPr>
                  </w:pPr>
                  <w:r>
                    <w:rPr>
                      <w:rFonts w:hint="eastAsia" w:ascii="宋体" w:hAnsi="宋体" w:eastAsia="宋体" w:cs="宋体"/>
                      <w:bCs/>
                      <w:color w:val="000000" w:themeColor="text1"/>
                      <w:sz w:val="21"/>
                      <w:szCs w:val="21"/>
                      <w14:textFill>
                        <w14:solidFill>
                          <w14:schemeClr w14:val="tx1"/>
                        </w14:solidFill>
                      </w14:textFill>
                    </w:rPr>
                    <w:t>▲1</w:t>
                  </w:r>
                  <w:r>
                    <w:rPr>
                      <w:rFonts w:hint="eastAsia" w:ascii="宋体" w:hAnsi="宋体" w:cs="宋体"/>
                      <w:bCs/>
                      <w:color w:val="000000" w:themeColor="text1"/>
                      <w:sz w:val="21"/>
                      <w:szCs w:val="21"/>
                      <w:lang w:val="en-US" w:eastAsia="zh-CN"/>
                      <w14:textFill>
                        <w14:solidFill>
                          <w14:schemeClr w14:val="tx1"/>
                        </w14:solidFill>
                      </w14:textFill>
                    </w:rPr>
                    <w:t>8</w:t>
                  </w:r>
                  <w:r>
                    <w:rPr>
                      <w:rFonts w:hint="eastAsia" w:ascii="宋体" w:hAnsi="宋体" w:eastAsia="宋体" w:cs="宋体"/>
                      <w:bCs/>
                      <w:color w:val="000000" w:themeColor="text1"/>
                      <w:sz w:val="21"/>
                      <w:szCs w:val="21"/>
                      <w14:textFill>
                        <w14:solidFill>
                          <w14:schemeClr w14:val="tx1"/>
                        </w14:solidFill>
                      </w14:textFill>
                    </w:rPr>
                    <w:t>、辐照剂量（mJ/cm2）:50-5000</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最小增加剂量1mj）</w:t>
                  </w:r>
                </w:p>
              </w:tc>
            </w:tr>
            <w:tr w14:paraId="7FC3B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0F232927">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103D5A4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1"/>
                      <w:szCs w:val="21"/>
                    </w:rPr>
                  </w:pPr>
                  <w:r>
                    <w:rPr>
                      <w:rFonts w:hint="eastAsia" w:ascii="宋体" w:hAnsi="宋体" w:eastAsia="宋体" w:cs="宋体"/>
                      <w:bCs/>
                      <w:color w:val="000000" w:themeColor="text1"/>
                      <w:sz w:val="21"/>
                      <w:szCs w:val="21"/>
                      <w14:textFill>
                        <w14:solidFill>
                          <w14:schemeClr w14:val="tx1"/>
                        </w14:solidFill>
                      </w14:textFill>
                    </w:rPr>
                    <w:t>1</w:t>
                  </w:r>
                  <w:r>
                    <w:rPr>
                      <w:rFonts w:hint="eastAsia" w:ascii="宋体" w:hAnsi="宋体" w:cs="宋体"/>
                      <w:bCs/>
                      <w:color w:val="000000" w:themeColor="text1"/>
                      <w:sz w:val="21"/>
                      <w:szCs w:val="21"/>
                      <w:lang w:val="en-US" w:eastAsia="zh-CN"/>
                      <w14:textFill>
                        <w14:solidFill>
                          <w14:schemeClr w14:val="tx1"/>
                        </w14:solidFill>
                      </w14:textFill>
                    </w:rPr>
                    <w:t>9</w:t>
                  </w:r>
                  <w:r>
                    <w:rPr>
                      <w:rFonts w:hint="eastAsia" w:ascii="宋体" w:hAnsi="宋体" w:eastAsia="宋体" w:cs="宋体"/>
                      <w:bCs/>
                      <w:color w:val="000000" w:themeColor="text1"/>
                      <w:sz w:val="21"/>
                      <w:szCs w:val="21"/>
                      <w14:textFill>
                        <w14:solidFill>
                          <w14:schemeClr w14:val="tx1"/>
                        </w14:solidFill>
                      </w14:textFill>
                    </w:rPr>
                    <w:t>、辐照强度（mw/cm2）</w:t>
                  </w:r>
                  <w:r>
                    <w:rPr>
                      <w:rFonts w:hint="eastAsia" w:ascii="宋体" w:hAnsi="宋体" w:eastAsia="宋体" w:cs="宋体"/>
                      <w:bCs/>
                      <w:color w:val="000000" w:themeColor="text1"/>
                      <w:sz w:val="21"/>
                      <w:szCs w:val="21"/>
                      <w:lang w:val="en-US" w:eastAsia="zh-CN"/>
                      <w14:textFill>
                        <w14:solidFill>
                          <w14:schemeClr w14:val="tx1"/>
                        </w14:solidFill>
                      </w14:textFill>
                    </w:rPr>
                    <w:t>：</w:t>
                  </w:r>
                  <w:r>
                    <w:rPr>
                      <w:rFonts w:hint="eastAsia" w:ascii="宋体" w:hAnsi="宋体" w:eastAsia="宋体" w:cs="宋体"/>
                      <w:bCs/>
                      <w:sz w:val="21"/>
                      <w:szCs w:val="21"/>
                      <w:lang w:val="en-US" w:eastAsia="zh-CN"/>
                    </w:rPr>
                    <w:t>≥</w:t>
                  </w:r>
                  <w:r>
                    <w:rPr>
                      <w:rFonts w:hint="eastAsia" w:ascii="宋体" w:hAnsi="宋体" w:eastAsia="宋体" w:cs="宋体"/>
                      <w:bCs/>
                      <w:color w:val="000000" w:themeColor="text1"/>
                      <w:sz w:val="21"/>
                      <w:szCs w:val="21"/>
                      <w14:textFill>
                        <w14:solidFill>
                          <w14:schemeClr w14:val="tx1"/>
                        </w14:solidFill>
                      </w14:textFill>
                    </w:rPr>
                    <w:t>50</w:t>
                  </w:r>
                </w:p>
              </w:tc>
            </w:tr>
            <w:tr w14:paraId="68B71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right w:val="single" w:color="auto" w:sz="4" w:space="0"/>
                  </w:tcBorders>
                  <w:noWrap w:val="0"/>
                  <w:vAlign w:val="center"/>
                </w:tcPr>
                <w:p w14:paraId="514BEDF9">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032520E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1"/>
                      <w:szCs w:val="21"/>
                    </w:rPr>
                  </w:pPr>
                  <w:r>
                    <w:rPr>
                      <w:rFonts w:hint="eastAsia" w:ascii="宋体" w:hAnsi="宋体" w:cs="宋体"/>
                      <w:bCs/>
                      <w:sz w:val="21"/>
                      <w:szCs w:val="21"/>
                      <w:lang w:val="en-US" w:eastAsia="zh-CN"/>
                    </w:rPr>
                    <w:t>20</w:t>
                  </w:r>
                  <w:r>
                    <w:rPr>
                      <w:rFonts w:hint="eastAsia" w:ascii="宋体" w:hAnsi="宋体" w:eastAsia="宋体" w:cs="宋体"/>
                      <w:bCs/>
                      <w:sz w:val="21"/>
                      <w:szCs w:val="21"/>
                      <w:lang w:val="en-US" w:eastAsia="zh-CN"/>
                    </w:rPr>
                    <w:t>、</w:t>
                  </w:r>
                  <w:r>
                    <w:rPr>
                      <w:rFonts w:hint="eastAsia" w:ascii="宋体" w:hAnsi="宋体" w:eastAsia="宋体" w:cs="宋体"/>
                      <w:bCs/>
                      <w:sz w:val="21"/>
                      <w:szCs w:val="21"/>
                    </w:rPr>
                    <w:t xml:space="preserve"> 输入功率（VA）：≤500</w:t>
                  </w:r>
                </w:p>
              </w:tc>
            </w:tr>
            <w:tr w14:paraId="1E5AF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1326" w:type="dxa"/>
                  <w:vMerge w:val="continue"/>
                  <w:tcBorders>
                    <w:left w:val="single" w:color="auto" w:sz="4" w:space="0"/>
                    <w:bottom w:val="single" w:color="auto" w:sz="4" w:space="0"/>
                    <w:right w:val="single" w:color="auto" w:sz="4" w:space="0"/>
                  </w:tcBorders>
                  <w:noWrap w:val="0"/>
                  <w:vAlign w:val="center"/>
                </w:tcPr>
                <w:p w14:paraId="2AFF3F5A">
                  <w:pPr>
                    <w:jc w:val="left"/>
                    <w:rPr>
                      <w:rFonts w:hint="eastAsia"/>
                      <w:szCs w:val="21"/>
                    </w:rPr>
                  </w:pPr>
                </w:p>
              </w:tc>
              <w:tc>
                <w:tcPr>
                  <w:tcW w:w="7093" w:type="dxa"/>
                  <w:tcBorders>
                    <w:top w:val="single" w:color="auto" w:sz="4" w:space="0"/>
                    <w:left w:val="single" w:color="auto" w:sz="4" w:space="0"/>
                    <w:bottom w:val="single" w:color="auto" w:sz="4" w:space="0"/>
                    <w:right w:val="single" w:color="auto" w:sz="4" w:space="0"/>
                  </w:tcBorders>
                  <w:noWrap w:val="0"/>
                  <w:vAlign w:val="top"/>
                </w:tcPr>
                <w:p w14:paraId="2EF1B83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sz w:val="21"/>
                      <w:szCs w:val="21"/>
                    </w:rPr>
                  </w:pPr>
                  <w:r>
                    <w:rPr>
                      <w:rFonts w:hint="eastAsia" w:ascii="宋体" w:hAnsi="宋体" w:eastAsia="宋体" w:cs="宋体"/>
                      <w:bCs/>
                      <w:sz w:val="21"/>
                      <w:szCs w:val="21"/>
                      <w:lang w:val="en-US" w:eastAsia="zh-CN"/>
                    </w:rPr>
                    <w:t>2</w:t>
                  </w:r>
                  <w:r>
                    <w:rPr>
                      <w:rFonts w:hint="eastAsia" w:ascii="宋体" w:hAnsi="宋体" w:cs="宋体"/>
                      <w:bCs/>
                      <w:sz w:val="21"/>
                      <w:szCs w:val="21"/>
                      <w:lang w:val="en-US" w:eastAsia="zh-CN"/>
                    </w:rPr>
                    <w:t>1</w:t>
                  </w:r>
                  <w:r>
                    <w:rPr>
                      <w:rFonts w:hint="eastAsia" w:ascii="宋体" w:hAnsi="宋体" w:eastAsia="宋体" w:cs="宋体"/>
                      <w:bCs/>
                      <w:sz w:val="21"/>
                      <w:szCs w:val="21"/>
                      <w:lang w:val="en-US" w:eastAsia="zh-CN"/>
                    </w:rPr>
                    <w:t>、</w:t>
                  </w:r>
                  <w:r>
                    <w:rPr>
                      <w:rFonts w:hint="eastAsia" w:ascii="宋体" w:hAnsi="宋体" w:eastAsia="宋体" w:cs="宋体"/>
                      <w:bCs/>
                      <w:sz w:val="21"/>
                      <w:szCs w:val="21"/>
                    </w:rPr>
                    <w:t>外形尺寸L×W×H，（mm）</w:t>
                  </w:r>
                  <w:r>
                    <w:rPr>
                      <w:rFonts w:hint="eastAsia" w:ascii="宋体" w:hAnsi="宋体" w:eastAsia="宋体" w:cs="宋体"/>
                      <w:bCs/>
                      <w:sz w:val="21"/>
                      <w:szCs w:val="21"/>
                      <w:lang w:val="en-US" w:eastAsia="zh-CN"/>
                    </w:rPr>
                    <w:t>≥</w:t>
                  </w:r>
                  <w:r>
                    <w:rPr>
                      <w:rFonts w:hint="eastAsia" w:ascii="宋体" w:hAnsi="宋体" w:eastAsia="宋体" w:cs="宋体"/>
                      <w:bCs/>
                      <w:sz w:val="21"/>
                      <w:szCs w:val="21"/>
                    </w:rPr>
                    <w:t>520×500×1240</w:t>
                  </w:r>
                </w:p>
              </w:tc>
            </w:tr>
          </w:tbl>
          <w:p w14:paraId="467EC50C">
            <w:pPr>
              <w:pStyle w:val="12"/>
            </w:pPr>
          </w:p>
        </w:tc>
      </w:tr>
      <w:tr w14:paraId="13D6B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5" w:hRule="atLeast"/>
        </w:trPr>
        <w:tc>
          <w:tcPr>
            <w:tcW w:w="426" w:type="dxa"/>
            <w:vAlign w:val="center"/>
          </w:tcPr>
          <w:p w14:paraId="33DCEDE9">
            <w:pPr>
              <w:jc w:val="center"/>
              <w:rPr>
                <w:rFonts w:cs="宋体" w:asciiTheme="minorEastAsia" w:hAnsiTheme="minorEastAsia" w:eastAsiaTheme="minorEastAsia"/>
                <w:color w:val="000000" w:themeColor="text1"/>
                <w:kern w:val="0"/>
                <w:szCs w:val="21"/>
                <w14:textFill>
                  <w14:solidFill>
                    <w14:schemeClr w14:val="tx1"/>
                  </w14:solidFill>
                </w14:textFill>
              </w:rPr>
            </w:pPr>
            <w:r>
              <w:rPr>
                <w:rFonts w:cs="宋体" w:asciiTheme="minorEastAsia" w:hAnsiTheme="minorEastAsia" w:eastAsiaTheme="minorEastAsia"/>
                <w:kern w:val="0"/>
                <w:szCs w:val="21"/>
              </w:rPr>
              <w:t>商务需求</w:t>
            </w:r>
          </w:p>
        </w:tc>
        <w:tc>
          <w:tcPr>
            <w:tcW w:w="8859" w:type="dxa"/>
            <w:gridSpan w:val="4"/>
          </w:tcPr>
          <w:p w14:paraId="4BA105F2">
            <w:pPr>
              <w:widowControl/>
              <w:adjustRightInd w:val="0"/>
              <w:snapToGrid w:val="0"/>
              <w:spacing w:line="276" w:lineRule="auto"/>
              <w:jc w:val="left"/>
              <w:outlineLvl w:val="0"/>
              <w:rPr>
                <w:rFonts w:cs="宋体" w:asciiTheme="minorEastAsia" w:hAnsiTheme="minorEastAsia" w:eastAsiaTheme="minorEastAsia"/>
                <w:b/>
                <w:bCs/>
                <w:color w:val="auto"/>
                <w:kern w:val="0"/>
                <w:szCs w:val="21"/>
              </w:rPr>
            </w:pPr>
            <w:r>
              <w:rPr>
                <w:rFonts w:hint="eastAsia" w:cs="宋体" w:asciiTheme="minorEastAsia" w:hAnsiTheme="minorEastAsia" w:eastAsiaTheme="minorEastAsia"/>
                <w:b/>
                <w:bCs/>
                <w:color w:val="auto"/>
                <w:kern w:val="0"/>
                <w:szCs w:val="21"/>
              </w:rPr>
              <w:t>一、报价要求</w:t>
            </w:r>
          </w:p>
          <w:p w14:paraId="5314A93B">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69218A8B">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2、投标人的投标报价，应是本项目招标范围和招标文件及合同条款上所列的各项内容中所述的全部，不得以任何理由予以重复，并以投标人在投标文件中提出的综合单价或总价为依据。</w:t>
            </w:r>
          </w:p>
          <w:p w14:paraId="1A0B3D0C">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3、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0C5FC5F0">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4、投标人应充分了解项目的位置、情况、道路及任何其它足以影响投标报价的情况，任何因忽视或误解项目情况而导致的索赔或服务期限延长申请将不获批准。</w:t>
            </w:r>
          </w:p>
          <w:p w14:paraId="74F32395">
            <w:pPr>
              <w:widowControl/>
              <w:adjustRightInd w:val="0"/>
              <w:snapToGrid w:val="0"/>
              <w:spacing w:line="276" w:lineRule="auto"/>
              <w:ind w:firstLine="420" w:firstLineChars="200"/>
              <w:outlineLvl w:val="0"/>
              <w:rPr>
                <w:rFonts w:asciiTheme="minorEastAsia" w:hAnsiTheme="minorEastAsia" w:eastAsiaTheme="minorEastAsia"/>
                <w:color w:val="auto"/>
                <w:szCs w:val="21"/>
              </w:rPr>
            </w:pPr>
            <w:r>
              <w:rPr>
                <w:rFonts w:hint="eastAsia" w:asciiTheme="minorEastAsia" w:hAnsiTheme="minorEastAsia" w:eastAsiaTheme="minorEastAsia"/>
                <w:color w:val="auto"/>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083B1DEA">
            <w:pPr>
              <w:ind w:firstLine="420" w:firstLineChars="200"/>
              <w:rPr>
                <w:rFonts w:hint="eastAsia" w:asciiTheme="minorEastAsia" w:hAnsiTheme="minorEastAsia" w:eastAsiaTheme="minorEastAsia"/>
                <w:color w:val="auto"/>
                <w:szCs w:val="21"/>
              </w:rPr>
            </w:pPr>
            <w:r>
              <w:rPr>
                <w:rFonts w:asciiTheme="minorEastAsia" w:hAnsiTheme="minorEastAsia" w:eastAsiaTheme="minorEastAsia"/>
                <w:color w:val="auto"/>
                <w:szCs w:val="21"/>
              </w:rPr>
              <w:t>6</w:t>
            </w:r>
            <w:r>
              <w:rPr>
                <w:rFonts w:hint="eastAsia" w:asciiTheme="minorEastAsia" w:hAnsiTheme="minorEastAsia" w:eastAsiaTheme="minorEastAsia"/>
                <w:color w:val="auto"/>
                <w:szCs w:val="21"/>
              </w:rPr>
              <w:t>、投标人须考虑本项目在实施期间的一切可能产生的费用。在项目实施过程中，如项目工作范围发生变更，由中标人和采购人双方协商解决；其余情况下，投标总价均不予调整。</w:t>
            </w:r>
          </w:p>
          <w:p w14:paraId="12A6DDF7">
            <w:pPr>
              <w:pStyle w:val="7"/>
              <w:rPr>
                <w:color w:val="auto"/>
              </w:rPr>
            </w:pPr>
          </w:p>
          <w:p w14:paraId="55324E17">
            <w:pPr>
              <w:widowControl/>
              <w:adjustRightInd w:val="0"/>
              <w:snapToGrid w:val="0"/>
              <w:spacing w:line="276" w:lineRule="auto"/>
              <w:jc w:val="left"/>
              <w:outlineLvl w:val="0"/>
              <w:rPr>
                <w:rFonts w:cs="宋体" w:asciiTheme="minorEastAsia" w:hAnsiTheme="minorEastAsia" w:eastAsiaTheme="minorEastAsia"/>
                <w:b/>
                <w:bCs/>
                <w:color w:val="auto"/>
                <w:kern w:val="0"/>
                <w:szCs w:val="21"/>
              </w:rPr>
            </w:pPr>
            <w:r>
              <w:rPr>
                <w:rFonts w:hint="eastAsia" w:cs="宋体" w:asciiTheme="minorEastAsia" w:hAnsiTheme="minorEastAsia" w:eastAsiaTheme="minorEastAsia"/>
                <w:b/>
                <w:bCs/>
                <w:color w:val="auto"/>
                <w:kern w:val="0"/>
                <w:szCs w:val="21"/>
              </w:rPr>
              <w:t>二、招标商务需求</w:t>
            </w:r>
          </w:p>
          <w:tbl>
            <w:tblPr>
              <w:tblStyle w:val="1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1583"/>
              <w:gridCol w:w="5830"/>
            </w:tblGrid>
            <w:tr w14:paraId="12B1E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05" w:type="pct"/>
                  <w:vAlign w:val="center"/>
                </w:tcPr>
                <w:p w14:paraId="672654AC">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序号</w:t>
                  </w:r>
                </w:p>
              </w:tc>
              <w:tc>
                <w:tcPr>
                  <w:tcW w:w="917" w:type="pct"/>
                  <w:vAlign w:val="center"/>
                </w:tcPr>
                <w:p w14:paraId="04DD8202">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目录</w:t>
                  </w:r>
                </w:p>
              </w:tc>
              <w:tc>
                <w:tcPr>
                  <w:tcW w:w="3377" w:type="pct"/>
                  <w:vAlign w:val="center"/>
                </w:tcPr>
                <w:p w14:paraId="6255B4E8">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招标商务需求</w:t>
                  </w:r>
                </w:p>
              </w:tc>
            </w:tr>
            <w:tr w14:paraId="4D01C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3"/>
                </w:tcPr>
                <w:p w14:paraId="0D1D680A">
                  <w:pP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（一）免费保修期内售后服务要求</w:t>
                  </w:r>
                </w:p>
              </w:tc>
            </w:tr>
            <w:tr w14:paraId="0E8BF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5DD196FC">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1</w:t>
                  </w:r>
                </w:p>
              </w:tc>
              <w:tc>
                <w:tcPr>
                  <w:tcW w:w="917" w:type="pct"/>
                </w:tcPr>
                <w:p w14:paraId="43BFE2E1">
                  <w:pPr>
                    <w:rPr>
                      <w:rFonts w:asciiTheme="minorEastAsia" w:hAnsiTheme="minorEastAsia" w:eastAsiaTheme="minorEastAsia"/>
                      <w:color w:val="auto"/>
                      <w:szCs w:val="21"/>
                    </w:rPr>
                  </w:pPr>
                  <w:r>
                    <w:rPr>
                      <w:rFonts w:hint="eastAsia" w:asciiTheme="minorEastAsia" w:hAnsiTheme="minorEastAsia" w:eastAsiaTheme="minorEastAsia"/>
                      <w:color w:val="auto"/>
                      <w:szCs w:val="21"/>
                    </w:rPr>
                    <w:t>维修响应及故障解决时间</w:t>
                  </w:r>
                </w:p>
              </w:tc>
              <w:tc>
                <w:tcPr>
                  <w:tcW w:w="3377" w:type="pct"/>
                </w:tcPr>
                <w:p w14:paraId="016EB57B">
                  <w:pPr>
                    <w:rPr>
                      <w:rFonts w:asciiTheme="minorEastAsia" w:hAnsiTheme="minorEastAsia" w:eastAsiaTheme="minorEastAsia"/>
                      <w:b/>
                      <w:color w:val="auto"/>
                      <w:szCs w:val="21"/>
                    </w:rPr>
                  </w:pPr>
                  <w:r>
                    <w:rPr>
                      <w:rFonts w:hint="eastAsia" w:ascii="宋体" w:hAnsi="宋体" w:cs="宋体"/>
                      <w:color w:val="auto"/>
                      <w:szCs w:val="21"/>
                      <w:highlight w:val="none"/>
                    </w:rPr>
                    <w:t>由设备制造商</w:t>
                  </w:r>
                  <w:r>
                    <w:rPr>
                      <w:rFonts w:hint="eastAsia" w:ascii="宋体" w:hAnsi="宋体" w:cs="宋体"/>
                      <w:color w:val="auto"/>
                      <w:szCs w:val="21"/>
                      <w:highlight w:val="none"/>
                      <w:lang w:eastAsia="zh-CN"/>
                    </w:rPr>
                    <w:t>或制造商授权认可的代理商</w:t>
                  </w:r>
                  <w:r>
                    <w:rPr>
                      <w:rFonts w:hint="eastAsia" w:ascii="宋体" w:hAnsi="宋体" w:cs="宋体"/>
                      <w:color w:val="auto"/>
                      <w:szCs w:val="21"/>
                      <w:highlight w:val="none"/>
                    </w:rPr>
                    <w:t>提供售后服务</w:t>
                  </w:r>
                  <w:r>
                    <w:rPr>
                      <w:rFonts w:hint="eastAsia" w:ascii="宋体" w:hAnsi="宋体" w:cs="宋体"/>
                      <w:color w:val="auto"/>
                      <w:szCs w:val="21"/>
                      <w:highlight w:val="none"/>
                      <w:lang w:eastAsia="zh-CN"/>
                    </w:rPr>
                    <w:t>，</w:t>
                  </w:r>
                  <w:r>
                    <w:rPr>
                      <w:rFonts w:hint="eastAsia" w:asciiTheme="minorEastAsia" w:hAnsiTheme="minorEastAsia" w:eastAsiaTheme="minorEastAsia"/>
                      <w:bCs/>
                      <w:color w:val="auto"/>
                      <w:szCs w:val="21"/>
                    </w:rPr>
                    <w:t>在保修期内，一旦发生质量问题，投标人保证在接到通知</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rPr>
                    <w:t xml:space="preserve"> 小时内响应， 24 小时维修到位（不可抗力情况除外）。消耗品和零配件供应及时。</w:t>
                  </w:r>
                </w:p>
              </w:tc>
            </w:tr>
            <w:tr w14:paraId="6D8D0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3F2AFEB6">
                  <w:pPr>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2</w:t>
                  </w:r>
                </w:p>
              </w:tc>
              <w:tc>
                <w:tcPr>
                  <w:tcW w:w="917" w:type="pct"/>
                </w:tcPr>
                <w:p w14:paraId="25550E55">
                  <w:pPr>
                    <w:rPr>
                      <w:rFonts w:asciiTheme="minorEastAsia" w:hAnsiTheme="minorEastAsia" w:eastAsiaTheme="minorEastAsia"/>
                      <w:color w:val="auto"/>
                      <w:szCs w:val="21"/>
                    </w:rPr>
                  </w:pPr>
                  <w:r>
                    <w:rPr>
                      <w:rFonts w:hint="eastAsia" w:asciiTheme="minorEastAsia" w:hAnsiTheme="minorEastAsia" w:eastAsiaTheme="minorEastAsia"/>
                      <w:color w:val="auto"/>
                      <w:szCs w:val="21"/>
                    </w:rPr>
                    <w:t>关于保修期</w:t>
                  </w:r>
                </w:p>
              </w:tc>
              <w:tc>
                <w:tcPr>
                  <w:tcW w:w="3377" w:type="pct"/>
                </w:tcPr>
                <w:p w14:paraId="74321777">
                  <w:pPr>
                    <w:rPr>
                      <w:rFonts w:asciiTheme="minorEastAsia" w:hAnsiTheme="minorEastAsia" w:eastAsiaTheme="minorEastAsia"/>
                      <w:b/>
                      <w:color w:val="auto"/>
                      <w:szCs w:val="21"/>
                    </w:rPr>
                  </w:pPr>
                  <w:r>
                    <w:rPr>
                      <w:rFonts w:hint="eastAsia" w:cs="宋体" w:asciiTheme="minorEastAsia" w:hAnsiTheme="minorEastAsia" w:eastAsiaTheme="minorEastAsia"/>
                      <w:b/>
                      <w:color w:val="auto"/>
                      <w:szCs w:val="21"/>
                    </w:rPr>
                    <w:t>★</w:t>
                  </w:r>
                  <w:r>
                    <w:rPr>
                      <w:rFonts w:hint="eastAsia" w:asciiTheme="minorEastAsia" w:hAnsiTheme="minorEastAsia" w:eastAsiaTheme="minorEastAsia"/>
                      <w:bCs/>
                      <w:color w:val="auto"/>
                      <w:szCs w:val="21"/>
                    </w:rPr>
                    <w:t>货物免费保修期</w:t>
                  </w:r>
                  <w:r>
                    <w:rPr>
                      <w:rFonts w:hint="eastAsia" w:asciiTheme="minorEastAsia" w:hAnsiTheme="minorEastAsia" w:eastAsiaTheme="minorEastAsia"/>
                      <w:bCs/>
                      <w:color w:val="auto"/>
                      <w:szCs w:val="21"/>
                      <w:highlight w:val="yellow"/>
                      <w:u w:val="single"/>
                    </w:rPr>
                    <w:t xml:space="preserve">  </w:t>
                  </w:r>
                  <w:r>
                    <w:rPr>
                      <w:rFonts w:hint="eastAsia" w:asciiTheme="minorEastAsia" w:hAnsiTheme="minorEastAsia" w:eastAsiaTheme="minorEastAsia"/>
                      <w:bCs/>
                      <w:color w:val="auto"/>
                      <w:szCs w:val="21"/>
                      <w:highlight w:val="yellow"/>
                      <w:u w:val="single"/>
                      <w:lang w:val="en-US" w:eastAsia="zh-CN"/>
                    </w:rPr>
                    <w:t>3</w:t>
                  </w:r>
                  <w:r>
                    <w:rPr>
                      <w:rFonts w:hint="eastAsia" w:asciiTheme="minorEastAsia" w:hAnsiTheme="minorEastAsia" w:eastAsiaTheme="minorEastAsia"/>
                      <w:bCs/>
                      <w:color w:val="auto"/>
                      <w:szCs w:val="21"/>
                      <w:highlight w:val="yellow"/>
                      <w:u w:val="single"/>
                    </w:rPr>
                    <w:t xml:space="preserve">  </w:t>
                  </w:r>
                  <w:r>
                    <w:rPr>
                      <w:rFonts w:hint="eastAsia" w:asciiTheme="minorEastAsia" w:hAnsiTheme="minorEastAsia" w:eastAsiaTheme="minorEastAsia"/>
                      <w:bCs/>
                      <w:color w:val="auto"/>
                      <w:szCs w:val="21"/>
                    </w:rPr>
                    <w:t>年，时间自最终验收合格并交付使用之日起计算。</w:t>
                  </w:r>
                </w:p>
              </w:tc>
            </w:tr>
            <w:tr w14:paraId="58267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75DEFAF6">
                  <w:pPr>
                    <w:jc w:val="center"/>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3</w:t>
                  </w:r>
                </w:p>
              </w:tc>
              <w:tc>
                <w:tcPr>
                  <w:tcW w:w="917" w:type="pct"/>
                </w:tcPr>
                <w:p w14:paraId="447E2955">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rPr>
                    <w:t>关于保修期</w:t>
                  </w:r>
                  <w:r>
                    <w:rPr>
                      <w:rFonts w:hint="eastAsia" w:asciiTheme="minorEastAsia" w:hAnsiTheme="minorEastAsia" w:eastAsiaTheme="minorEastAsia"/>
                      <w:color w:val="auto"/>
                      <w:szCs w:val="21"/>
                      <w:lang w:eastAsia="zh-CN"/>
                    </w:rPr>
                    <w:t>内服务</w:t>
                  </w:r>
                </w:p>
              </w:tc>
              <w:tc>
                <w:tcPr>
                  <w:tcW w:w="3377" w:type="pct"/>
                </w:tcPr>
                <w:p w14:paraId="332F413A">
                  <w:pPr>
                    <w:rPr>
                      <w:rFonts w:asciiTheme="minorEastAsia" w:hAnsiTheme="minorEastAsia" w:eastAsiaTheme="minorEastAsia"/>
                      <w:bCs/>
                      <w:color w:val="auto"/>
                      <w:szCs w:val="21"/>
                    </w:rPr>
                  </w:pPr>
                  <w:r>
                    <w:rPr>
                      <w:rFonts w:hint="eastAsia" w:ascii="宋体" w:hAnsi="宋体" w:eastAsia="宋体" w:cs="宋体"/>
                      <w:color w:val="auto"/>
                      <w:sz w:val="21"/>
                      <w:szCs w:val="21"/>
                    </w:rPr>
                    <w:t xml:space="preserve">保修期内,年度定期预防性维护保养次数应不少于 </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 xml:space="preserve"> 次。保修期内免费更换零配件、免工时费。</w:t>
                  </w:r>
                </w:p>
              </w:tc>
            </w:tr>
            <w:tr w14:paraId="51E83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77146426">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4</w:t>
                  </w:r>
                </w:p>
              </w:tc>
              <w:tc>
                <w:tcPr>
                  <w:tcW w:w="917" w:type="pct"/>
                </w:tcPr>
                <w:p w14:paraId="6C9FACAC">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关于维修配件及软件升级</w:t>
                  </w:r>
                </w:p>
              </w:tc>
              <w:tc>
                <w:tcPr>
                  <w:tcW w:w="3377" w:type="pct"/>
                </w:tcPr>
                <w:p w14:paraId="3FB8D8FF">
                  <w:pPr>
                    <w:rPr>
                      <w:rFonts w:hint="eastAsia" w:ascii="宋体" w:hAnsi="宋体" w:eastAsia="宋体" w:cs="宋体"/>
                      <w:color w:val="auto"/>
                      <w:sz w:val="21"/>
                      <w:szCs w:val="21"/>
                    </w:rPr>
                  </w:pPr>
                  <w:r>
                    <w:rPr>
                      <w:rFonts w:hint="eastAsia" w:ascii="宋体" w:hAnsi="宋体" w:eastAsia="宋体" w:cs="宋体"/>
                      <w:color w:val="auto"/>
                      <w:sz w:val="21"/>
                      <w:szCs w:val="21"/>
                    </w:rPr>
                    <w:t xml:space="preserve">投标人负责货物的终身维修，保证 </w:t>
                  </w:r>
                  <w:r>
                    <w:rPr>
                      <w:rFonts w:hint="eastAsia" w:ascii="宋体" w:hAnsi="宋体" w:cs="宋体"/>
                      <w:color w:val="auto"/>
                      <w:sz w:val="21"/>
                      <w:szCs w:val="21"/>
                      <w:lang w:val="en-US" w:eastAsia="zh-CN"/>
                    </w:rPr>
                    <w:t>8</w:t>
                  </w:r>
                  <w:r>
                    <w:rPr>
                      <w:rFonts w:hint="eastAsia" w:ascii="宋体" w:hAnsi="宋体" w:eastAsia="宋体" w:cs="宋体"/>
                      <w:color w:val="auto"/>
                      <w:sz w:val="21"/>
                      <w:szCs w:val="21"/>
                    </w:rPr>
                    <w:t xml:space="preserve"> 年以上供应维修配件， 5 年内免费提供软件升级服务。</w:t>
                  </w:r>
                </w:p>
              </w:tc>
            </w:tr>
            <w:tr w14:paraId="558CB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5E0611DE">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5</w:t>
                  </w:r>
                </w:p>
              </w:tc>
              <w:tc>
                <w:tcPr>
                  <w:tcW w:w="917" w:type="pct"/>
                </w:tcPr>
                <w:p w14:paraId="1AA9832D">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关于设备设计使用年限</w:t>
                  </w:r>
                </w:p>
              </w:tc>
              <w:tc>
                <w:tcPr>
                  <w:tcW w:w="3377" w:type="pct"/>
                </w:tcPr>
                <w:p w14:paraId="01E2671C">
                  <w:pPr>
                    <w:rPr>
                      <w:rFonts w:hint="eastAsia" w:ascii="宋体" w:hAnsi="宋体" w:eastAsia="宋体" w:cs="宋体"/>
                      <w:color w:val="auto"/>
                      <w:sz w:val="21"/>
                      <w:szCs w:val="21"/>
                    </w:rPr>
                  </w:pPr>
                  <w:r>
                    <w:rPr>
                      <w:rFonts w:hint="eastAsia" w:cs="宋体" w:asciiTheme="minorEastAsia" w:hAnsiTheme="minorEastAsia" w:eastAsiaTheme="minorEastAsia"/>
                      <w:b/>
                      <w:color w:val="auto"/>
                      <w:szCs w:val="21"/>
                    </w:rPr>
                    <w:t>★</w:t>
                  </w:r>
                  <w:r>
                    <w:rPr>
                      <w:rFonts w:hint="eastAsia" w:ascii="宋体" w:hAnsi="宋体" w:cs="宋体"/>
                      <w:color w:val="auto"/>
                      <w:szCs w:val="21"/>
                    </w:rPr>
                    <w:t>投标人提供的仪器设备的设计使用年限≥5年。</w:t>
                  </w:r>
                  <w:r>
                    <w:rPr>
                      <w:rFonts w:hint="eastAsia" w:ascii="宋体" w:hAnsi="宋体" w:cs="宋体"/>
                      <w:b/>
                      <w:bCs/>
                      <w:color w:val="auto"/>
                      <w:szCs w:val="21"/>
                    </w:rPr>
                    <w:t>【设计年限需提供设备说明书或由厂家盖章的说明函进行佐证（格式自拟）】</w:t>
                  </w:r>
                </w:p>
              </w:tc>
            </w:tr>
            <w:tr w14:paraId="7C296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2035648F">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6</w:t>
                  </w:r>
                </w:p>
              </w:tc>
              <w:tc>
                <w:tcPr>
                  <w:tcW w:w="917" w:type="pct"/>
                </w:tcPr>
                <w:p w14:paraId="6317A64F">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关于设备生产日期</w:t>
                  </w:r>
                </w:p>
              </w:tc>
              <w:tc>
                <w:tcPr>
                  <w:tcW w:w="3377" w:type="pct"/>
                </w:tcPr>
                <w:p w14:paraId="0DF4ABC4">
                  <w:pPr>
                    <w:rPr>
                      <w:rFonts w:hint="eastAsia" w:ascii="宋体" w:hAnsi="宋体" w:cs="宋体"/>
                      <w:color w:val="auto"/>
                      <w:szCs w:val="21"/>
                    </w:rPr>
                  </w:pPr>
                  <w:r>
                    <w:rPr>
                      <w:rFonts w:hint="eastAsia" w:cs="宋体" w:asciiTheme="minorEastAsia" w:hAnsiTheme="minorEastAsia" w:eastAsiaTheme="minorEastAsia"/>
                      <w:b/>
                      <w:color w:val="auto"/>
                      <w:szCs w:val="21"/>
                    </w:rPr>
                    <w:t>★</w:t>
                  </w:r>
                  <w:r>
                    <w:rPr>
                      <w:rFonts w:hint="eastAsia" w:ascii="宋体" w:hAnsi="宋体" w:cs="宋体"/>
                      <w:color w:val="auto"/>
                      <w:szCs w:val="21"/>
                    </w:rPr>
                    <w:t>投标人提供的仪器设备的生产日期必须在一年半内生产【</w:t>
                  </w:r>
                  <w:r>
                    <w:rPr>
                      <w:rFonts w:hint="eastAsia" w:ascii="宋体" w:hAnsi="宋体" w:cs="宋体"/>
                      <w:b/>
                      <w:bCs/>
                      <w:color w:val="auto"/>
                      <w:szCs w:val="21"/>
                    </w:rPr>
                    <w:t>生产日期需提供承诺书（格式自拟）</w:t>
                  </w:r>
                  <w:r>
                    <w:rPr>
                      <w:rFonts w:hint="eastAsia" w:ascii="宋体" w:hAnsi="宋体" w:cs="宋体"/>
                      <w:color w:val="auto"/>
                      <w:szCs w:val="21"/>
                    </w:rPr>
                    <w:t>】</w:t>
                  </w:r>
                </w:p>
              </w:tc>
            </w:tr>
            <w:tr w14:paraId="59D78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241E6186">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7</w:t>
                  </w:r>
                </w:p>
              </w:tc>
              <w:tc>
                <w:tcPr>
                  <w:tcW w:w="917" w:type="pct"/>
                </w:tcPr>
                <w:p w14:paraId="7D8DE109">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关于配套试剂及耗材</w:t>
                  </w:r>
                </w:p>
              </w:tc>
              <w:tc>
                <w:tcPr>
                  <w:tcW w:w="3377" w:type="pct"/>
                </w:tcPr>
                <w:p w14:paraId="2E39A900">
                  <w:pPr>
                    <w:rPr>
                      <w:rFonts w:hint="eastAsia" w:ascii="宋体" w:hAnsi="宋体" w:cs="宋体"/>
                      <w:color w:val="auto"/>
                      <w:szCs w:val="21"/>
                    </w:rPr>
                  </w:pPr>
                  <w:r>
                    <w:rPr>
                      <w:rFonts w:hint="eastAsia" w:cs="宋体" w:asciiTheme="minorEastAsia" w:hAnsiTheme="minorEastAsia" w:eastAsiaTheme="minorEastAsia"/>
                      <w:b w:val="0"/>
                      <w:bCs/>
                      <w:color w:val="auto"/>
                      <w:szCs w:val="21"/>
                      <w:highlight w:val="none"/>
                    </w:rPr>
                    <w:t>★</w:t>
                  </w:r>
                  <w:r>
                    <w:rPr>
                      <w:rFonts w:hint="eastAsia" w:ascii="宋体" w:hAnsi="宋体" w:cs="宋体"/>
                      <w:b w:val="0"/>
                      <w:bCs/>
                      <w:color w:val="auto"/>
                      <w:highlight w:val="none"/>
                    </w:rPr>
                    <w:t>承诺</w:t>
                  </w:r>
                  <w:r>
                    <w:rPr>
                      <w:rFonts w:hint="eastAsia" w:ascii="宋体" w:hAnsi="宋体" w:cs="宋体"/>
                      <w:b w:val="0"/>
                      <w:bCs/>
                      <w:color w:val="auto"/>
                      <w:highlight w:val="none"/>
                      <w:lang w:eastAsia="zh-CN"/>
                    </w:rPr>
                    <w:t>可</w:t>
                  </w:r>
                  <w:r>
                    <w:rPr>
                      <w:rFonts w:hint="eastAsia" w:ascii="宋体" w:hAnsi="宋体" w:cs="宋体"/>
                      <w:b w:val="0"/>
                      <w:bCs/>
                      <w:color w:val="auto"/>
                      <w:highlight w:val="none"/>
                    </w:rPr>
                    <w:t>在</w:t>
                  </w:r>
                  <w:r>
                    <w:rPr>
                      <w:rFonts w:ascii="宋体" w:hAnsi="宋体" w:eastAsia="宋体" w:cs="宋体"/>
                      <w:b w:val="0"/>
                      <w:bCs/>
                      <w:color w:val="auto"/>
                      <w:sz w:val="21"/>
                      <w:szCs w:val="21"/>
                      <w:highlight w:val="none"/>
                    </w:rPr>
                    <w:t>深圳医用耗材阳光交易和监管平台</w:t>
                  </w:r>
                  <w:r>
                    <w:rPr>
                      <w:rFonts w:hint="eastAsia" w:ascii="宋体" w:hAnsi="宋体" w:cs="宋体"/>
                      <w:b w:val="0"/>
                      <w:bCs/>
                      <w:color w:val="auto"/>
                      <w:sz w:val="21"/>
                      <w:szCs w:val="21"/>
                      <w:highlight w:val="none"/>
                    </w:rPr>
                    <w:t>上</w:t>
                  </w:r>
                  <w:r>
                    <w:rPr>
                      <w:rFonts w:hint="eastAsia" w:ascii="宋体" w:hAnsi="宋体" w:cs="宋体"/>
                      <w:b w:val="0"/>
                      <w:bCs/>
                      <w:color w:val="auto"/>
                      <w:highlight w:val="none"/>
                    </w:rPr>
                    <w:t>采购仪器配套封闭试剂及耗材，并承诺提供深圳市内最低供货价</w:t>
                  </w:r>
                  <w:r>
                    <w:rPr>
                      <w:rFonts w:hint="eastAsia" w:ascii="宋体" w:hAnsi="宋体" w:cs="宋体"/>
                      <w:b/>
                      <w:bCs w:val="0"/>
                      <w:color w:val="auto"/>
                      <w:highlight w:val="none"/>
                    </w:rPr>
                    <w:t>（提供承诺函，承诺函格式自定）。</w:t>
                  </w:r>
                </w:p>
              </w:tc>
            </w:tr>
            <w:tr w14:paraId="45FD7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593ADF69">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8</w:t>
                  </w:r>
                </w:p>
              </w:tc>
              <w:tc>
                <w:tcPr>
                  <w:tcW w:w="917" w:type="pct"/>
                </w:tcPr>
                <w:p w14:paraId="21DBDAA5">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w:t>
                  </w:r>
                  <w:r>
                    <w:rPr>
                      <w:rFonts w:hint="eastAsia" w:ascii="宋体" w:hAnsi="宋体" w:cs="宋体"/>
                      <w:bCs/>
                      <w:color w:val="auto"/>
                      <w:szCs w:val="21"/>
                      <w:highlight w:val="none"/>
                    </w:rPr>
                    <w:t>零配件、消耗品和延续保修</w:t>
                  </w:r>
                </w:p>
              </w:tc>
              <w:tc>
                <w:tcPr>
                  <w:tcW w:w="3377" w:type="pct"/>
                </w:tcPr>
                <w:p w14:paraId="03147D98">
                  <w:pPr>
                    <w:rPr>
                      <w:rFonts w:hint="eastAsia" w:ascii="宋体" w:hAnsi="宋体" w:cs="宋体"/>
                      <w:b/>
                      <w:bCs/>
                      <w:color w:val="auto"/>
                      <w:highlight w:val="none"/>
                    </w:rPr>
                  </w:pPr>
                  <w:r>
                    <w:rPr>
                      <w:rFonts w:hint="eastAsia" w:ascii="宋体" w:hAnsi="宋体" w:cs="宋体"/>
                      <w:bCs/>
                      <w:color w:val="auto"/>
                      <w:szCs w:val="21"/>
                      <w:highlight w:val="none"/>
                    </w:rPr>
                    <w:t>投标人应</w:t>
                  </w:r>
                  <w:r>
                    <w:rPr>
                      <w:rFonts w:hint="eastAsia" w:ascii="宋体" w:hAnsi="宋体" w:cs="宋体"/>
                      <w:bCs/>
                      <w:color w:val="auto"/>
                      <w:szCs w:val="21"/>
                      <w:highlight w:val="none"/>
                      <w:lang w:eastAsia="zh-CN"/>
                    </w:rPr>
                    <w:t>提供</w:t>
                  </w:r>
                  <w:r>
                    <w:rPr>
                      <w:rFonts w:hint="eastAsia" w:ascii="宋体" w:hAnsi="宋体" w:cs="宋体"/>
                      <w:bCs/>
                      <w:color w:val="auto"/>
                      <w:szCs w:val="21"/>
                      <w:highlight w:val="none"/>
                    </w:rPr>
                    <w:t>维修零配件、消耗品和延续保修</w:t>
                  </w:r>
                  <w:r>
                    <w:rPr>
                      <w:rFonts w:hint="eastAsia" w:ascii="宋体" w:hAnsi="宋体" w:cs="宋体"/>
                      <w:bCs/>
                      <w:color w:val="auto"/>
                      <w:szCs w:val="21"/>
                      <w:highlight w:val="none"/>
                      <w:lang w:eastAsia="zh-CN"/>
                    </w:rPr>
                    <w:t>的报价单</w:t>
                  </w:r>
                  <w:r>
                    <w:rPr>
                      <w:rFonts w:hint="eastAsia" w:ascii="宋体" w:hAnsi="宋体" w:cs="宋体"/>
                      <w:bCs/>
                      <w:color w:val="auto"/>
                      <w:szCs w:val="21"/>
                      <w:highlight w:val="none"/>
                    </w:rPr>
                    <w:t>。价格最高的前</w:t>
                  </w:r>
                  <w:r>
                    <w:rPr>
                      <w:rFonts w:hint="eastAsia" w:ascii="宋体" w:hAnsi="宋体" w:cs="宋体"/>
                      <w:bCs/>
                      <w:color w:val="auto"/>
                      <w:szCs w:val="21"/>
                      <w:highlight w:val="none"/>
                      <w:u w:val="single"/>
                    </w:rPr>
                    <w:t xml:space="preserve"> 5</w:t>
                  </w:r>
                  <w:r>
                    <w:rPr>
                      <w:rFonts w:hint="eastAsia" w:ascii="宋体" w:hAnsi="宋体" w:cs="宋体"/>
                      <w:bCs/>
                      <w:color w:val="auto"/>
                      <w:szCs w:val="21"/>
                      <w:highlight w:val="none"/>
                    </w:rPr>
                    <w:t>项零配件、消耗品和延续保修的报价明细必须填写于《零配件、消耗品和延续保修报价明细清单》中</w:t>
                  </w:r>
                  <w:r>
                    <w:rPr>
                      <w:rFonts w:hint="eastAsia" w:ascii="宋体" w:hAnsi="宋体" w:cs="宋体"/>
                      <w:bCs/>
                      <w:color w:val="auto"/>
                      <w:szCs w:val="21"/>
                      <w:highlight w:val="none"/>
                      <w:lang w:eastAsia="zh-CN"/>
                    </w:rPr>
                    <w:t>（清单格式自拟）</w:t>
                  </w:r>
                  <w:r>
                    <w:rPr>
                      <w:rFonts w:hint="eastAsia" w:ascii="宋体" w:hAnsi="宋体" w:cs="宋体"/>
                      <w:bCs/>
                      <w:color w:val="auto"/>
                      <w:szCs w:val="21"/>
                      <w:highlight w:val="none"/>
                    </w:rPr>
                    <w:t>。</w:t>
                  </w:r>
                </w:p>
              </w:tc>
            </w:tr>
            <w:tr w14:paraId="0CE00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705" w:type="pct"/>
                  <w:vAlign w:val="center"/>
                </w:tcPr>
                <w:p w14:paraId="0D27450D">
                  <w:pPr>
                    <w:jc w:val="center"/>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9</w:t>
                  </w:r>
                </w:p>
              </w:tc>
              <w:tc>
                <w:tcPr>
                  <w:tcW w:w="917" w:type="pct"/>
                </w:tcPr>
                <w:p w14:paraId="703F3938">
                  <w:pPr>
                    <w:rPr>
                      <w:rFonts w:hint="eastAsia" w:asciiTheme="minorEastAsia" w:hAnsiTheme="minorEastAsia" w:eastAsiaTheme="minorEastAsia"/>
                      <w:color w:val="auto"/>
                      <w:szCs w:val="21"/>
                      <w:lang w:eastAsia="zh-CN"/>
                    </w:rPr>
                  </w:pPr>
                  <w:r>
                    <w:rPr>
                      <w:rFonts w:hint="eastAsia" w:asciiTheme="minorEastAsia" w:hAnsiTheme="minorEastAsia" w:eastAsiaTheme="minorEastAsia"/>
                      <w:color w:val="auto"/>
                      <w:szCs w:val="21"/>
                      <w:lang w:eastAsia="zh-CN"/>
                    </w:rPr>
                    <w:t>关于设备开机率</w:t>
                  </w:r>
                </w:p>
              </w:tc>
              <w:tc>
                <w:tcPr>
                  <w:tcW w:w="3377" w:type="pct"/>
                </w:tcPr>
                <w:p w14:paraId="3E9B4733">
                  <w:pPr>
                    <w:spacing w:line="360" w:lineRule="auto"/>
                    <w:rPr>
                      <w:rFonts w:ascii="宋体" w:hAnsi="宋体" w:cs="宋体"/>
                      <w:bCs/>
                      <w:color w:val="auto"/>
                      <w:szCs w:val="21"/>
                      <w:highlight w:val="none"/>
                    </w:rPr>
                  </w:pPr>
                  <w:r>
                    <w:rPr>
                      <w:rFonts w:hint="eastAsia" w:ascii="宋体" w:hAnsi="宋体" w:cs="宋体"/>
                      <w:bCs/>
                      <w:color w:val="auto"/>
                      <w:szCs w:val="21"/>
                      <w:highlight w:val="none"/>
                    </w:rPr>
                    <w:t>在保修期内, 投标人应确保年开机率在95%</w:t>
                  </w:r>
                  <w:r>
                    <w:rPr>
                      <w:rFonts w:hint="eastAsia" w:ascii="宋体" w:hAnsi="宋体" w:cs="宋体"/>
                      <w:bCs/>
                      <w:color w:val="auto"/>
                      <w:szCs w:val="21"/>
                      <w:highlight w:val="none"/>
                      <w:lang w:eastAsia="zh-CN"/>
                    </w:rPr>
                    <w:t>（</w:t>
                  </w:r>
                  <w:r>
                    <w:rPr>
                      <w:rFonts w:hint="eastAsia" w:ascii="宋体" w:hAnsi="宋体" w:cs="宋体"/>
                      <w:bCs/>
                      <w:color w:val="auto"/>
                      <w:szCs w:val="21"/>
                      <w:highlight w:val="none"/>
                      <w:lang w:val="en-US" w:eastAsia="zh-CN"/>
                    </w:rPr>
                    <w:t>含</w:t>
                  </w:r>
                  <w:r>
                    <w:rPr>
                      <w:rFonts w:hint="eastAsia" w:ascii="宋体" w:hAnsi="宋体" w:cs="宋体"/>
                      <w:bCs/>
                      <w:color w:val="auto"/>
                      <w:szCs w:val="21"/>
                      <w:highlight w:val="none"/>
                      <w:lang w:eastAsia="zh-CN"/>
                    </w:rPr>
                    <w:t>）</w:t>
                  </w:r>
                  <w:r>
                    <w:rPr>
                      <w:rFonts w:hint="eastAsia" w:ascii="宋体" w:hAnsi="宋体" w:cs="宋体"/>
                      <w:bCs/>
                      <w:color w:val="auto"/>
                      <w:szCs w:val="21"/>
                      <w:highlight w:val="none"/>
                    </w:rPr>
                    <w:t>以上, 若不能达到此开机率，将作以下处理：</w:t>
                  </w:r>
                </w:p>
                <w:p w14:paraId="37551F6E">
                  <w:pPr>
                    <w:spacing w:line="360" w:lineRule="auto"/>
                    <w:ind w:left="420" w:leftChars="200"/>
                    <w:rPr>
                      <w:rFonts w:ascii="宋体" w:hAnsi="宋体" w:cs="宋体"/>
                      <w:bCs/>
                      <w:color w:val="auto"/>
                      <w:szCs w:val="21"/>
                      <w:highlight w:val="none"/>
                    </w:rPr>
                  </w:pPr>
                  <w:r>
                    <w:rPr>
                      <w:rFonts w:hint="eastAsia" w:ascii="宋体" w:hAnsi="宋体" w:cs="宋体"/>
                      <w:bCs/>
                      <w:color w:val="auto"/>
                      <w:szCs w:val="21"/>
                      <w:highlight w:val="none"/>
                    </w:rPr>
                    <w:t>A</w:t>
                  </w:r>
                  <w:r>
                    <w:rPr>
                      <w:rFonts w:hint="eastAsia" w:ascii="宋体" w:hAnsi="宋体" w:cs="宋体"/>
                      <w:bCs/>
                      <w:color w:val="auto"/>
                      <w:szCs w:val="21"/>
                      <w:highlight w:val="none"/>
                      <w:lang w:val="en-US" w:eastAsia="zh-CN"/>
                    </w:rPr>
                    <w:t>.</w:t>
                  </w:r>
                  <w:r>
                    <w:rPr>
                      <w:rFonts w:hint="eastAsia" w:ascii="宋体" w:hAnsi="宋体" w:cs="宋体"/>
                      <w:bCs/>
                      <w:color w:val="auto"/>
                      <w:szCs w:val="21"/>
                      <w:highlight w:val="none"/>
                    </w:rPr>
                    <w:t>年开机率在90（含）-95%（不含）之间按一赔</w:t>
                  </w:r>
                  <w:r>
                    <w:rPr>
                      <w:rFonts w:hint="eastAsia" w:ascii="宋体" w:hAnsi="宋体" w:cs="宋体"/>
                      <w:bCs/>
                      <w:color w:val="auto"/>
                      <w:szCs w:val="21"/>
                      <w:highlight w:val="none"/>
                      <w:u w:val="single"/>
                    </w:rPr>
                    <w:t xml:space="preserve"> 二 </w:t>
                  </w:r>
                  <w:r>
                    <w:rPr>
                      <w:rFonts w:hint="eastAsia" w:ascii="宋体" w:hAnsi="宋体" w:cs="宋体"/>
                      <w:bCs/>
                      <w:color w:val="auto"/>
                      <w:szCs w:val="21"/>
                      <w:highlight w:val="none"/>
                    </w:rPr>
                    <w:t>延长保修期.</w:t>
                  </w:r>
                </w:p>
                <w:p w14:paraId="55B0AB09">
                  <w:pPr>
                    <w:spacing w:line="360" w:lineRule="auto"/>
                    <w:ind w:left="420" w:leftChars="200"/>
                    <w:rPr>
                      <w:rFonts w:ascii="宋体" w:hAnsi="宋体" w:cs="宋体"/>
                      <w:bCs/>
                      <w:color w:val="auto"/>
                      <w:szCs w:val="21"/>
                      <w:highlight w:val="none"/>
                    </w:rPr>
                  </w:pPr>
                  <w:r>
                    <w:rPr>
                      <w:rFonts w:hint="eastAsia" w:ascii="宋体" w:hAnsi="宋体" w:cs="宋体"/>
                      <w:bCs/>
                      <w:color w:val="auto"/>
                      <w:szCs w:val="21"/>
                      <w:highlight w:val="none"/>
                    </w:rPr>
                    <w:t>B</w:t>
                  </w:r>
                  <w:r>
                    <w:rPr>
                      <w:rFonts w:hint="eastAsia" w:ascii="宋体" w:hAnsi="宋体" w:cs="宋体"/>
                      <w:bCs/>
                      <w:color w:val="auto"/>
                      <w:szCs w:val="21"/>
                      <w:highlight w:val="none"/>
                      <w:lang w:val="en-US" w:eastAsia="zh-CN"/>
                    </w:rPr>
                    <w:t>.</w:t>
                  </w:r>
                  <w:r>
                    <w:rPr>
                      <w:rFonts w:hint="eastAsia" w:ascii="宋体" w:hAnsi="宋体" w:cs="宋体"/>
                      <w:bCs/>
                      <w:color w:val="auto"/>
                      <w:szCs w:val="21"/>
                      <w:highlight w:val="none"/>
                    </w:rPr>
                    <w:t>年开机率在85（含）-90%（不含）之间按一赔</w:t>
                  </w:r>
                  <w:r>
                    <w:rPr>
                      <w:rFonts w:hint="eastAsia" w:ascii="宋体" w:hAnsi="宋体" w:cs="宋体"/>
                      <w:bCs/>
                      <w:color w:val="auto"/>
                      <w:szCs w:val="21"/>
                      <w:highlight w:val="none"/>
                      <w:u w:val="single"/>
                    </w:rPr>
                    <w:t xml:space="preserve"> 五 </w:t>
                  </w:r>
                  <w:r>
                    <w:rPr>
                      <w:rFonts w:hint="eastAsia" w:ascii="宋体" w:hAnsi="宋体" w:cs="宋体"/>
                      <w:bCs/>
                      <w:color w:val="auto"/>
                      <w:szCs w:val="21"/>
                      <w:highlight w:val="none"/>
                    </w:rPr>
                    <w:t>延长保修期</w:t>
                  </w:r>
                </w:p>
                <w:p w14:paraId="15755BBF">
                  <w:pPr>
                    <w:spacing w:line="360" w:lineRule="auto"/>
                    <w:ind w:left="735" w:leftChars="200" w:hanging="315" w:hangingChars="150"/>
                    <w:rPr>
                      <w:rFonts w:ascii="宋体" w:hAnsi="宋体" w:cs="宋体"/>
                      <w:bCs/>
                      <w:color w:val="auto"/>
                      <w:szCs w:val="21"/>
                      <w:highlight w:val="none"/>
                    </w:rPr>
                  </w:pPr>
                  <w:r>
                    <w:rPr>
                      <w:rFonts w:hint="eastAsia" w:ascii="宋体" w:hAnsi="宋体" w:cs="宋体"/>
                      <w:bCs/>
                      <w:color w:val="auto"/>
                      <w:szCs w:val="21"/>
                      <w:highlight w:val="none"/>
                    </w:rPr>
                    <w:t>C</w:t>
                  </w:r>
                  <w:r>
                    <w:rPr>
                      <w:rFonts w:hint="eastAsia" w:ascii="宋体" w:hAnsi="宋体" w:cs="宋体"/>
                      <w:bCs/>
                      <w:color w:val="auto"/>
                      <w:szCs w:val="21"/>
                      <w:highlight w:val="none"/>
                      <w:lang w:val="en-US" w:eastAsia="zh-CN"/>
                    </w:rPr>
                    <w:t>.</w:t>
                  </w:r>
                  <w:r>
                    <w:rPr>
                      <w:rFonts w:hint="eastAsia" w:ascii="宋体" w:hAnsi="宋体" w:cs="宋体"/>
                      <w:bCs/>
                      <w:color w:val="auto"/>
                      <w:szCs w:val="21"/>
                      <w:highlight w:val="none"/>
                    </w:rPr>
                    <w:t>年开机率低于85%（</w:t>
                  </w:r>
                  <w:r>
                    <w:rPr>
                      <w:rFonts w:hint="eastAsia" w:ascii="宋体" w:hAnsi="宋体" w:cs="宋体"/>
                      <w:bCs/>
                      <w:color w:val="auto"/>
                      <w:szCs w:val="21"/>
                      <w:highlight w:val="none"/>
                      <w:lang w:val="en-US" w:eastAsia="zh-CN"/>
                    </w:rPr>
                    <w:t>不</w:t>
                  </w:r>
                  <w:r>
                    <w:rPr>
                      <w:rFonts w:hint="eastAsia" w:ascii="宋体" w:hAnsi="宋体" w:cs="宋体"/>
                      <w:bCs/>
                      <w:color w:val="auto"/>
                      <w:szCs w:val="21"/>
                      <w:highlight w:val="none"/>
                    </w:rPr>
                    <w:t>含），投标人须无条件更换新机，并重新计算保修期，以及赔偿用户的直接经济损失和间接经济损失。</w:t>
                  </w:r>
                </w:p>
                <w:p w14:paraId="31295C7F">
                  <w:pPr>
                    <w:rPr>
                      <w:rFonts w:hint="eastAsia" w:ascii="宋体" w:hAnsi="宋体" w:cs="宋体"/>
                      <w:color w:val="auto"/>
                      <w:szCs w:val="21"/>
                    </w:rPr>
                  </w:pPr>
                  <w:r>
                    <w:rPr>
                      <w:rFonts w:hint="eastAsia" w:ascii="宋体" w:hAnsi="宋体" w:cs="宋体"/>
                      <w:b/>
                      <w:bCs/>
                      <w:color w:val="auto"/>
                      <w:sz w:val="21"/>
                      <w:szCs w:val="21"/>
                      <w:highlight w:val="none"/>
                    </w:rPr>
                    <w:t>注：</w:t>
                  </w:r>
                  <w:r>
                    <w:rPr>
                      <w:rFonts w:hint="eastAsia" w:ascii="宋体" w:hAnsi="宋体" w:cs="宋体"/>
                      <w:bCs/>
                      <w:color w:val="auto"/>
                      <w:sz w:val="21"/>
                      <w:szCs w:val="21"/>
                      <w:highlight w:val="none"/>
                    </w:rPr>
                    <w:t>年开机率</w:t>
                  </w:r>
                  <w:r>
                    <w:rPr>
                      <w:rFonts w:hint="eastAsia" w:ascii="宋体" w:hAnsi="宋体" w:cs="宋体"/>
                      <w:bCs/>
                      <w:color w:val="auto"/>
                      <w:sz w:val="21"/>
                      <w:szCs w:val="21"/>
                      <w:highlight w:val="none"/>
                      <w:lang w:val="en-US" w:eastAsia="zh-CN"/>
                    </w:rPr>
                    <w:t>=</w:t>
                  </w:r>
                  <w:r>
                    <w:rPr>
                      <w:rFonts w:hint="eastAsia" w:ascii="宋体" w:hAnsi="宋体" w:cs="宋体"/>
                      <w:bCs/>
                      <w:color w:val="auto"/>
                      <w:sz w:val="21"/>
                      <w:szCs w:val="21"/>
                      <w:highlight w:val="none"/>
                    </w:rPr>
                    <w:t>（实际开机天数/</w:t>
                  </w:r>
                  <w:r>
                    <w:rPr>
                      <w:rFonts w:hint="eastAsia"/>
                      <w:color w:val="auto"/>
                      <w:highlight w:val="none"/>
                      <w:lang w:val="en-US" w:eastAsia="zh-CN"/>
                    </w:rPr>
                    <w:t>365天</w:t>
                  </w:r>
                  <w:r>
                    <w:rPr>
                      <w:rFonts w:hint="eastAsia" w:ascii="宋体" w:hAnsi="宋体" w:cs="宋体"/>
                      <w:bCs/>
                      <w:color w:val="auto"/>
                      <w:sz w:val="21"/>
                      <w:szCs w:val="21"/>
                      <w:highlight w:val="none"/>
                    </w:rPr>
                    <w:t>*100%）</w:t>
                  </w:r>
                </w:p>
              </w:tc>
            </w:tr>
            <w:tr w14:paraId="44920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705" w:type="pct"/>
                  <w:vAlign w:val="center"/>
                </w:tcPr>
                <w:p w14:paraId="0D0BB80B">
                  <w:pPr>
                    <w:jc w:val="center"/>
                    <w:rPr>
                      <w:rFonts w:hint="default" w:asciiTheme="minorEastAsia" w:hAnsiTheme="minorEastAsia" w:eastAsiaTheme="minorEastAsia"/>
                      <w:b/>
                      <w:color w:val="auto"/>
                      <w:szCs w:val="21"/>
                      <w:lang w:val="en-US" w:eastAsia="zh-CN"/>
                    </w:rPr>
                  </w:pPr>
                  <w:r>
                    <w:rPr>
                      <w:rFonts w:hint="eastAsia" w:asciiTheme="minorEastAsia" w:hAnsiTheme="minorEastAsia" w:eastAsiaTheme="minorEastAsia"/>
                      <w:b/>
                      <w:color w:val="auto"/>
                      <w:szCs w:val="21"/>
                      <w:lang w:val="en-US" w:eastAsia="zh-CN"/>
                    </w:rPr>
                    <w:t>10</w:t>
                  </w:r>
                </w:p>
              </w:tc>
              <w:tc>
                <w:tcPr>
                  <w:tcW w:w="917" w:type="pct"/>
                  <w:vAlign w:val="center"/>
                </w:tcPr>
                <w:p w14:paraId="7033195A">
                  <w:pPr>
                    <w:rPr>
                      <w:rFonts w:asciiTheme="minorEastAsia" w:hAnsiTheme="minorEastAsia" w:eastAsiaTheme="minorEastAsia"/>
                      <w:b/>
                      <w:color w:val="auto"/>
                      <w:szCs w:val="21"/>
                    </w:rPr>
                  </w:pPr>
                  <w:r>
                    <w:rPr>
                      <w:rFonts w:hint="eastAsia" w:asciiTheme="minorEastAsia" w:hAnsiTheme="minorEastAsia" w:eastAsiaTheme="minorEastAsia"/>
                      <w:color w:val="auto"/>
                      <w:szCs w:val="21"/>
                    </w:rPr>
                    <w:t>其他</w:t>
                  </w:r>
                </w:p>
              </w:tc>
              <w:tc>
                <w:tcPr>
                  <w:tcW w:w="3377" w:type="pct"/>
                  <w:vAlign w:val="center"/>
                </w:tcPr>
                <w:p w14:paraId="5CEDE603">
                  <w:pPr>
                    <w:rPr>
                      <w:rFonts w:asciiTheme="minorEastAsia" w:hAnsiTheme="minorEastAsia" w:eastAsiaTheme="minorEastAsia"/>
                      <w:b/>
                      <w:color w:val="auto"/>
                      <w:szCs w:val="21"/>
                    </w:rPr>
                  </w:pPr>
                  <w:r>
                    <w:rPr>
                      <w:rFonts w:hint="eastAsia" w:asciiTheme="minorEastAsia" w:hAnsiTheme="minorEastAsia" w:eastAsiaTheme="minorEastAsia"/>
                      <w:bCs/>
                      <w:color w:val="auto"/>
                      <w:szCs w:val="21"/>
                    </w:rPr>
                    <w:t>投标人应按其投标文件中的承诺，进行其他售后服务工作。</w:t>
                  </w:r>
                </w:p>
              </w:tc>
            </w:tr>
            <w:tr w14:paraId="4FE71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5000" w:type="pct"/>
                  <w:gridSpan w:val="3"/>
                </w:tcPr>
                <w:p w14:paraId="0B5F821F">
                  <w:pP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（二）免费保修期外售后服务要求</w:t>
                  </w:r>
                </w:p>
              </w:tc>
            </w:tr>
            <w:tr w14:paraId="644E9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708D71B0">
                  <w:pPr>
                    <w:jc w:val="center"/>
                    <w:rPr>
                      <w:rFonts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1</w:t>
                  </w:r>
                </w:p>
              </w:tc>
              <w:tc>
                <w:tcPr>
                  <w:tcW w:w="917" w:type="pct"/>
                </w:tcPr>
                <w:p w14:paraId="5FA8E019">
                  <w:pPr>
                    <w:rPr>
                      <w:rFonts w:asciiTheme="minorEastAsia" w:hAnsiTheme="minorEastAsia" w:eastAsiaTheme="minorEastAsia"/>
                      <w:b/>
                      <w:color w:val="auto"/>
                      <w:szCs w:val="21"/>
                      <w:highlight w:val="none"/>
                    </w:rPr>
                  </w:pPr>
                </w:p>
              </w:tc>
              <w:tc>
                <w:tcPr>
                  <w:tcW w:w="3377" w:type="pct"/>
                </w:tcPr>
                <w:p w14:paraId="25B7BB2B">
                  <w:pPr>
                    <w:rPr>
                      <w:rFonts w:hint="eastAsia" w:eastAsia="宋体" w:asciiTheme="minorEastAsia" w:hAnsiTheme="minorEastAsia"/>
                      <w:b/>
                      <w:color w:val="auto"/>
                      <w:szCs w:val="21"/>
                      <w:highlight w:val="none"/>
                      <w:lang w:eastAsia="zh-CN"/>
                    </w:rPr>
                  </w:pPr>
                  <w:r>
                    <w:rPr>
                      <w:rFonts w:hint="eastAsia" w:ascii="宋体" w:hAnsi="宋体" w:cs="宋体"/>
                      <w:color w:val="auto"/>
                      <w:szCs w:val="21"/>
                      <w:highlight w:val="none"/>
                    </w:rPr>
                    <w:t>由设备制造商</w:t>
                  </w:r>
                  <w:r>
                    <w:rPr>
                      <w:rFonts w:hint="eastAsia" w:ascii="宋体" w:hAnsi="宋体" w:cs="宋体"/>
                      <w:color w:val="auto"/>
                      <w:szCs w:val="21"/>
                      <w:highlight w:val="none"/>
                      <w:lang w:eastAsia="zh-CN"/>
                    </w:rPr>
                    <w:t>或制造商授权认可的代理商</w:t>
                  </w:r>
                  <w:r>
                    <w:rPr>
                      <w:rFonts w:hint="eastAsia" w:ascii="宋体" w:hAnsi="宋体" w:cs="宋体"/>
                      <w:color w:val="auto"/>
                      <w:szCs w:val="21"/>
                      <w:highlight w:val="none"/>
                    </w:rPr>
                    <w:t>提供售后服务</w:t>
                  </w:r>
                  <w:r>
                    <w:rPr>
                      <w:rFonts w:hint="eastAsia" w:ascii="宋体" w:hAnsi="宋体" w:cs="宋体"/>
                      <w:color w:val="auto"/>
                      <w:szCs w:val="21"/>
                      <w:highlight w:val="none"/>
                      <w:lang w:eastAsia="zh-CN"/>
                    </w:rPr>
                    <w:t>。</w:t>
                  </w:r>
                </w:p>
              </w:tc>
            </w:tr>
            <w:tr w14:paraId="5B525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5000" w:type="pct"/>
                  <w:gridSpan w:val="3"/>
                </w:tcPr>
                <w:p w14:paraId="0D9D2C13">
                  <w:pP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（三）其他商务要求</w:t>
                  </w:r>
                </w:p>
              </w:tc>
            </w:tr>
            <w:tr w14:paraId="0EB4A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05" w:type="pct"/>
                  <w:vMerge w:val="restart"/>
                  <w:vAlign w:val="center"/>
                </w:tcPr>
                <w:p w14:paraId="6995891A">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1</w:t>
                  </w:r>
                </w:p>
              </w:tc>
              <w:tc>
                <w:tcPr>
                  <w:tcW w:w="917" w:type="pct"/>
                  <w:vMerge w:val="restart"/>
                  <w:vAlign w:val="center"/>
                </w:tcPr>
                <w:p w14:paraId="2E4A5C17">
                  <w:pPr>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关于交货</w:t>
                  </w:r>
                </w:p>
              </w:tc>
              <w:tc>
                <w:tcPr>
                  <w:tcW w:w="3377" w:type="pct"/>
                </w:tcPr>
                <w:p w14:paraId="1EC0D281">
                  <w:pPr>
                    <w:rPr>
                      <w:rFonts w:asciiTheme="minorEastAsia" w:hAnsiTheme="minorEastAsia" w:eastAsiaTheme="minorEastAsia"/>
                      <w:bCs/>
                      <w:color w:val="auto"/>
                      <w:szCs w:val="21"/>
                    </w:rPr>
                  </w:pPr>
                  <w:r>
                    <w:rPr>
                      <w:rFonts w:hint="eastAsia" w:cs="宋体" w:asciiTheme="minorEastAsia" w:hAnsiTheme="minorEastAsia" w:eastAsiaTheme="minorEastAsia"/>
                      <w:b/>
                      <w:color w:val="auto"/>
                      <w:szCs w:val="21"/>
                    </w:rPr>
                    <w:t>★</w:t>
                  </w:r>
                  <w:r>
                    <w:rPr>
                      <w:rFonts w:hint="eastAsia" w:asciiTheme="minorEastAsia" w:hAnsiTheme="minorEastAsia" w:eastAsiaTheme="minorEastAsia"/>
                      <w:bCs/>
                      <w:color w:val="auto"/>
                      <w:szCs w:val="21"/>
                    </w:rPr>
                    <w:t>1.1</w:t>
                  </w:r>
                  <w:r>
                    <w:rPr>
                      <w:rFonts w:hint="eastAsia"/>
                      <w:color w:val="auto"/>
                    </w:rPr>
                    <w:t xml:space="preserve">签订合同后  </w:t>
                  </w:r>
                  <w:r>
                    <w:rPr>
                      <w:rFonts w:hint="eastAsia"/>
                      <w:color w:val="auto"/>
                      <w:u w:val="single"/>
                    </w:rPr>
                    <w:t xml:space="preserve"> </w:t>
                  </w:r>
                  <w:r>
                    <w:rPr>
                      <w:rFonts w:hint="eastAsia"/>
                      <w:color w:val="auto"/>
                      <w:highlight w:val="yellow"/>
                      <w:u w:val="single"/>
                      <w:lang w:val="en-US" w:eastAsia="zh-CN"/>
                    </w:rPr>
                    <w:t>30</w:t>
                  </w:r>
                  <w:r>
                    <w:rPr>
                      <w:rFonts w:hint="eastAsia"/>
                      <w:color w:val="auto"/>
                      <w:u w:val="single"/>
                    </w:rPr>
                    <w:t xml:space="preserve"> </w:t>
                  </w:r>
                  <w:r>
                    <w:rPr>
                      <w:rFonts w:hint="eastAsia"/>
                      <w:color w:val="auto"/>
                    </w:rPr>
                    <w:t xml:space="preserve"> 天（日历日）内交货。</w:t>
                  </w:r>
                </w:p>
              </w:tc>
            </w:tr>
            <w:tr w14:paraId="4A750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05" w:type="pct"/>
                  <w:vMerge w:val="continue"/>
                  <w:vAlign w:val="center"/>
                </w:tcPr>
                <w:p w14:paraId="3222F589">
                  <w:pPr>
                    <w:jc w:val="center"/>
                    <w:rPr>
                      <w:rFonts w:hint="eastAsia" w:asciiTheme="minorEastAsia" w:hAnsiTheme="minorEastAsia" w:eastAsiaTheme="minorEastAsia"/>
                      <w:b/>
                      <w:color w:val="auto"/>
                      <w:szCs w:val="21"/>
                    </w:rPr>
                  </w:pPr>
                </w:p>
              </w:tc>
              <w:tc>
                <w:tcPr>
                  <w:tcW w:w="917" w:type="pct"/>
                  <w:vMerge w:val="continue"/>
                  <w:vAlign w:val="center"/>
                </w:tcPr>
                <w:p w14:paraId="581DC2AC">
                  <w:pPr>
                    <w:jc w:val="center"/>
                    <w:rPr>
                      <w:rFonts w:hint="eastAsia" w:asciiTheme="minorEastAsia" w:hAnsiTheme="minorEastAsia" w:eastAsiaTheme="minorEastAsia"/>
                      <w:color w:val="auto"/>
                      <w:szCs w:val="21"/>
                    </w:rPr>
                  </w:pPr>
                </w:p>
              </w:tc>
              <w:tc>
                <w:tcPr>
                  <w:tcW w:w="3377" w:type="pct"/>
                </w:tcPr>
                <w:p w14:paraId="5CEC4327">
                  <w:pPr>
                    <w:rPr>
                      <w:rFonts w:hint="eastAsia" w:asciiTheme="minorEastAsia" w:hAnsiTheme="minorEastAsia" w:eastAsiaTheme="minorEastAsia"/>
                      <w:bCs/>
                      <w:color w:val="auto"/>
                      <w:szCs w:val="21"/>
                    </w:rPr>
                  </w:pPr>
                  <w:r>
                    <w:rPr>
                      <w:rFonts w:hint="eastAsia" w:asciiTheme="minorEastAsia" w:hAnsiTheme="minorEastAsia" w:eastAsiaTheme="minorEastAsia"/>
                      <w:bCs/>
                      <w:color w:val="auto"/>
                      <w:szCs w:val="21"/>
                      <w:lang w:val="en-US" w:eastAsia="zh-CN"/>
                    </w:rPr>
                    <w:t>1.2</w:t>
                  </w:r>
                  <w:r>
                    <w:rPr>
                      <w:rFonts w:hint="eastAsia" w:asciiTheme="minorEastAsia" w:hAnsiTheme="minorEastAsia" w:eastAsiaTheme="minorEastAsia"/>
                      <w:bCs/>
                      <w:color w:val="auto"/>
                      <w:szCs w:val="21"/>
                    </w:rPr>
                    <w:t>交货地点：</w:t>
                  </w:r>
                  <w:r>
                    <w:rPr>
                      <w:rFonts w:hint="eastAsia" w:ascii="宋体" w:hAnsi="宋体"/>
                      <w:color w:val="auto"/>
                      <w:szCs w:val="21"/>
                    </w:rPr>
                    <w:t>中标人</w:t>
                  </w:r>
                  <w:r>
                    <w:rPr>
                      <w:rFonts w:hint="eastAsia" w:ascii="宋体" w:hAnsi="宋体" w:cs="宋体"/>
                      <w:bCs/>
                      <w:color w:val="auto"/>
                      <w:szCs w:val="21"/>
                      <w:highlight w:val="none"/>
                    </w:rPr>
                    <w:t>负责将</w:t>
                  </w:r>
                  <w:r>
                    <w:rPr>
                      <w:rFonts w:hint="eastAsia" w:ascii="宋体" w:hAnsi="宋体" w:cs="宋体"/>
                      <w:color w:val="auto"/>
                      <w:szCs w:val="21"/>
                      <w:highlight w:val="none"/>
                    </w:rPr>
                    <w:t>货物</w:t>
                  </w:r>
                  <w:r>
                    <w:rPr>
                      <w:rFonts w:hint="eastAsia" w:ascii="宋体" w:hAnsi="宋体" w:cs="宋体"/>
                      <w:bCs/>
                      <w:color w:val="auto"/>
                      <w:szCs w:val="21"/>
                      <w:highlight w:val="none"/>
                    </w:rPr>
                    <w:t>安全无损运抵采购人指定地点,并承担设备的包装、运输、保险、装卸、安装调试、培训、商检及计量检测、关税、增值税和进口代理等费用</w:t>
                  </w:r>
                  <w:r>
                    <w:rPr>
                      <w:rFonts w:hint="eastAsia" w:ascii="宋体" w:hAnsi="宋体" w:cs="宋体"/>
                      <w:color w:val="auto"/>
                      <w:szCs w:val="21"/>
                      <w:highlight w:val="none"/>
                    </w:rPr>
                    <w:t>。</w:t>
                  </w:r>
                </w:p>
              </w:tc>
            </w:tr>
            <w:tr w14:paraId="1353D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705" w:type="pct"/>
                  <w:vMerge w:val="continue"/>
                  <w:vAlign w:val="center"/>
                </w:tcPr>
                <w:p w14:paraId="1C9AA534">
                  <w:pPr>
                    <w:jc w:val="center"/>
                    <w:rPr>
                      <w:rFonts w:asciiTheme="minorEastAsia" w:hAnsiTheme="minorEastAsia" w:eastAsiaTheme="minorEastAsia"/>
                      <w:b/>
                      <w:color w:val="auto"/>
                      <w:szCs w:val="21"/>
                    </w:rPr>
                  </w:pPr>
                </w:p>
              </w:tc>
              <w:tc>
                <w:tcPr>
                  <w:tcW w:w="917" w:type="pct"/>
                  <w:vMerge w:val="continue"/>
                  <w:vAlign w:val="center"/>
                </w:tcPr>
                <w:p w14:paraId="1E4210E4">
                  <w:pPr>
                    <w:jc w:val="center"/>
                    <w:rPr>
                      <w:rFonts w:asciiTheme="minorEastAsia" w:hAnsiTheme="minorEastAsia" w:eastAsiaTheme="minorEastAsia"/>
                      <w:color w:val="auto"/>
                      <w:szCs w:val="21"/>
                    </w:rPr>
                  </w:pPr>
                </w:p>
              </w:tc>
              <w:tc>
                <w:tcPr>
                  <w:tcW w:w="3377" w:type="pct"/>
                </w:tcPr>
                <w:p w14:paraId="69C711F8">
                  <w:pPr>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1.</w:t>
                  </w:r>
                  <w:r>
                    <w:rPr>
                      <w:rFonts w:hint="eastAsia" w:asciiTheme="minorEastAsia" w:hAnsiTheme="minorEastAsia" w:eastAsiaTheme="minorEastAsia"/>
                      <w:bCs/>
                      <w:color w:val="auto"/>
                      <w:szCs w:val="21"/>
                      <w:lang w:val="en-US" w:eastAsia="zh-CN"/>
                    </w:rPr>
                    <w:t>3</w:t>
                  </w:r>
                  <w:r>
                    <w:rPr>
                      <w:rFonts w:hint="eastAsia" w:ascii="宋体" w:hAnsi="宋体"/>
                      <w:color w:val="auto"/>
                      <w:szCs w:val="21"/>
                    </w:rPr>
                    <w:t>中标人</w:t>
                  </w:r>
                  <w:r>
                    <w:rPr>
                      <w:rFonts w:hint="eastAsia" w:ascii="宋体" w:hAnsi="宋体" w:cs="宋体"/>
                      <w:bCs/>
                      <w:color w:val="auto"/>
                      <w:szCs w:val="21"/>
                      <w:highlight w:val="none"/>
                    </w:rPr>
                    <w:t>应提供货物的技术文件，包括但不限于设备配置清单、产品说明书、图纸、操作手册等，所有外文资料须提供中文译本。文件应随货物一并交付至采购人指定地点</w:t>
                  </w:r>
                  <w:r>
                    <w:rPr>
                      <w:rFonts w:hint="eastAsia" w:ascii="宋体" w:hAnsi="宋体" w:cs="宋体"/>
                      <w:color w:val="auto"/>
                      <w:szCs w:val="21"/>
                      <w:highlight w:val="none"/>
                    </w:rPr>
                    <w:t>。</w:t>
                  </w:r>
                </w:p>
              </w:tc>
            </w:tr>
            <w:tr w14:paraId="643E1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705" w:type="pct"/>
                  <w:vMerge w:val="continue"/>
                  <w:vAlign w:val="center"/>
                </w:tcPr>
                <w:p w14:paraId="06D9A401">
                  <w:pPr>
                    <w:jc w:val="center"/>
                    <w:rPr>
                      <w:rFonts w:asciiTheme="minorEastAsia" w:hAnsiTheme="minorEastAsia" w:eastAsiaTheme="minorEastAsia"/>
                      <w:b/>
                      <w:color w:val="auto"/>
                      <w:szCs w:val="21"/>
                    </w:rPr>
                  </w:pPr>
                </w:p>
              </w:tc>
              <w:tc>
                <w:tcPr>
                  <w:tcW w:w="917" w:type="pct"/>
                  <w:vMerge w:val="continue"/>
                  <w:vAlign w:val="center"/>
                </w:tcPr>
                <w:p w14:paraId="004ACF3D">
                  <w:pPr>
                    <w:jc w:val="center"/>
                    <w:rPr>
                      <w:rFonts w:asciiTheme="minorEastAsia" w:hAnsiTheme="minorEastAsia" w:eastAsiaTheme="minorEastAsia"/>
                      <w:color w:val="auto"/>
                      <w:szCs w:val="21"/>
                    </w:rPr>
                  </w:pPr>
                </w:p>
              </w:tc>
              <w:tc>
                <w:tcPr>
                  <w:tcW w:w="3377" w:type="pct"/>
                </w:tcPr>
                <w:p w14:paraId="1B3BB069">
                  <w:pPr>
                    <w:rPr>
                      <w:rFonts w:hint="eastAsia" w:asciiTheme="minorEastAsia" w:hAnsiTheme="minorEastAsia" w:eastAsiaTheme="minorEastAsia"/>
                      <w:bCs/>
                      <w:color w:val="auto"/>
                      <w:szCs w:val="21"/>
                    </w:rPr>
                  </w:pPr>
                  <w:r>
                    <w:rPr>
                      <w:rFonts w:hint="eastAsia" w:ascii="宋体" w:hAnsi="宋体" w:cs="宋体"/>
                      <w:bCs/>
                      <w:color w:val="auto"/>
                      <w:szCs w:val="21"/>
                      <w:lang w:val="en-US" w:eastAsia="zh-CN"/>
                    </w:rPr>
                    <w:t>1.4</w:t>
                  </w:r>
                  <w:r>
                    <w:rPr>
                      <w:rFonts w:hint="eastAsia" w:ascii="宋体" w:hAnsi="宋体"/>
                      <w:color w:val="auto"/>
                      <w:szCs w:val="21"/>
                    </w:rPr>
                    <w:t>中标人</w:t>
                  </w:r>
                  <w:r>
                    <w:rPr>
                      <w:rFonts w:hint="eastAsia" w:ascii="宋体" w:hAnsi="宋体" w:cs="宋体"/>
                      <w:bCs/>
                      <w:color w:val="auto"/>
                      <w:szCs w:val="21"/>
                    </w:rPr>
                    <w:t>提供的货物必须为全新、经检验合格的产品。</w:t>
                  </w:r>
                  <w:r>
                    <w:rPr>
                      <w:rFonts w:hint="eastAsia" w:ascii="宋体" w:hAnsi="宋体" w:cs="宋体"/>
                      <w:bCs/>
                      <w:color w:val="auto"/>
                      <w:szCs w:val="21"/>
                      <w:highlight w:val="none"/>
                    </w:rPr>
                    <w:t>产品如需要计量检定的应</w:t>
                  </w:r>
                  <w:r>
                    <w:rPr>
                      <w:rFonts w:hint="eastAsia" w:ascii="宋体" w:hAnsi="宋体" w:cs="宋体"/>
                      <w:color w:val="auto"/>
                      <w:szCs w:val="21"/>
                      <w:highlight w:val="none"/>
                    </w:rPr>
                    <w:t>提供</w:t>
                  </w:r>
                  <w:r>
                    <w:rPr>
                      <w:rFonts w:hint="eastAsia" w:ascii="宋体" w:hAnsi="宋体" w:cs="宋体"/>
                      <w:bCs/>
                      <w:color w:val="auto"/>
                      <w:szCs w:val="21"/>
                      <w:highlight w:val="none"/>
                    </w:rPr>
                    <w:t>相关计量检定部门出具的合法检定报告。其中，进口设备必须具有报关证明文件和商检证明文件（免检设备</w:t>
                  </w:r>
                  <w:r>
                    <w:rPr>
                      <w:rFonts w:hint="eastAsia" w:ascii="宋体" w:hAnsi="宋体" w:cs="宋体"/>
                      <w:bCs/>
                      <w:color w:val="auto"/>
                      <w:szCs w:val="21"/>
                      <w:highlight w:val="none"/>
                      <w:lang w:eastAsia="zh-CN"/>
                    </w:rPr>
                    <w:t>提供免检证明</w:t>
                  </w:r>
                  <w:r>
                    <w:rPr>
                      <w:rFonts w:hint="eastAsia" w:ascii="宋体" w:hAnsi="宋体" w:cs="宋体"/>
                      <w:bCs/>
                      <w:color w:val="auto"/>
                      <w:szCs w:val="21"/>
                      <w:highlight w:val="none"/>
                    </w:rPr>
                    <w:t>）</w:t>
                  </w:r>
                  <w:r>
                    <w:rPr>
                      <w:rFonts w:hint="eastAsia" w:ascii="宋体" w:hAnsi="宋体" w:cs="宋体"/>
                      <w:color w:val="auto"/>
                      <w:szCs w:val="21"/>
                      <w:highlight w:val="none"/>
                    </w:rPr>
                    <w:t>。</w:t>
                  </w:r>
                </w:p>
              </w:tc>
            </w:tr>
            <w:tr w14:paraId="7315D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705" w:type="pct"/>
                  <w:vMerge w:val="continue"/>
                  <w:vAlign w:val="center"/>
                </w:tcPr>
                <w:p w14:paraId="25A38351">
                  <w:pPr>
                    <w:jc w:val="center"/>
                    <w:rPr>
                      <w:rFonts w:asciiTheme="minorEastAsia" w:hAnsiTheme="minorEastAsia" w:eastAsiaTheme="minorEastAsia"/>
                      <w:b/>
                      <w:color w:val="auto"/>
                      <w:szCs w:val="21"/>
                    </w:rPr>
                  </w:pPr>
                </w:p>
              </w:tc>
              <w:tc>
                <w:tcPr>
                  <w:tcW w:w="917" w:type="pct"/>
                  <w:vMerge w:val="continue"/>
                  <w:vAlign w:val="center"/>
                </w:tcPr>
                <w:p w14:paraId="6E3EAAA6">
                  <w:pPr>
                    <w:jc w:val="center"/>
                    <w:rPr>
                      <w:rFonts w:asciiTheme="minorEastAsia" w:hAnsiTheme="minorEastAsia" w:eastAsiaTheme="minorEastAsia"/>
                      <w:color w:val="auto"/>
                      <w:szCs w:val="21"/>
                    </w:rPr>
                  </w:pPr>
                </w:p>
              </w:tc>
              <w:tc>
                <w:tcPr>
                  <w:tcW w:w="3377" w:type="pct"/>
                </w:tcPr>
                <w:p w14:paraId="41BF8930">
                  <w:pPr>
                    <w:rPr>
                      <w:rFonts w:hint="eastAsia" w:eastAsia="宋体"/>
                      <w:color w:val="auto"/>
                      <w:lang w:eastAsia="zh-CN"/>
                    </w:rPr>
                  </w:pPr>
                  <w:r>
                    <w:rPr>
                      <w:rFonts w:hint="eastAsia" w:ascii="宋体" w:hAnsi="宋体" w:cs="宋体"/>
                      <w:bCs/>
                      <w:color w:val="auto"/>
                      <w:szCs w:val="21"/>
                      <w:highlight w:val="none"/>
                      <w:lang w:val="en-US" w:eastAsia="zh-CN"/>
                    </w:rPr>
                    <w:t>1.5</w:t>
                  </w:r>
                  <w:r>
                    <w:rPr>
                      <w:rFonts w:hint="eastAsia" w:ascii="宋体" w:hAnsi="宋体" w:cs="宋体"/>
                      <w:bCs/>
                      <w:color w:val="auto"/>
                      <w:szCs w:val="21"/>
                      <w:highlight w:val="none"/>
                    </w:rPr>
                    <w:t>采购人有权检验或测试货物，以确认货物是否符合合同规格的要求。如果发现所交货物与投标文件中所承诺的不符或存在质量、技术缺陷等,采购人可以拒绝接收该货物</w:t>
                  </w:r>
                  <w:r>
                    <w:rPr>
                      <w:rFonts w:hint="eastAsia" w:ascii="宋体" w:hAnsi="宋体" w:cs="宋体"/>
                      <w:bCs/>
                      <w:color w:val="auto"/>
                      <w:szCs w:val="21"/>
                      <w:highlight w:val="none"/>
                      <w:lang w:eastAsia="zh-CN"/>
                    </w:rPr>
                    <w:t>。</w:t>
                  </w:r>
                </w:p>
              </w:tc>
            </w:tr>
            <w:tr w14:paraId="01AE9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705" w:type="pct"/>
                  <w:vMerge w:val="continue"/>
                  <w:vAlign w:val="center"/>
                </w:tcPr>
                <w:p w14:paraId="5A43573B">
                  <w:pPr>
                    <w:jc w:val="center"/>
                    <w:rPr>
                      <w:rFonts w:asciiTheme="minorEastAsia" w:hAnsiTheme="minorEastAsia" w:eastAsiaTheme="minorEastAsia"/>
                      <w:b/>
                      <w:color w:val="auto"/>
                      <w:szCs w:val="21"/>
                    </w:rPr>
                  </w:pPr>
                </w:p>
              </w:tc>
              <w:tc>
                <w:tcPr>
                  <w:tcW w:w="917" w:type="pct"/>
                  <w:vMerge w:val="continue"/>
                  <w:vAlign w:val="center"/>
                </w:tcPr>
                <w:p w14:paraId="3A828585">
                  <w:pPr>
                    <w:jc w:val="center"/>
                    <w:rPr>
                      <w:rFonts w:asciiTheme="minorEastAsia" w:hAnsiTheme="minorEastAsia" w:eastAsiaTheme="minorEastAsia"/>
                      <w:color w:val="auto"/>
                      <w:szCs w:val="21"/>
                    </w:rPr>
                  </w:pPr>
                </w:p>
              </w:tc>
              <w:tc>
                <w:tcPr>
                  <w:tcW w:w="3377" w:type="pct"/>
                </w:tcPr>
                <w:p w14:paraId="230C2E66">
                  <w:pPr>
                    <w:rPr>
                      <w:rFonts w:hint="eastAsia"/>
                      <w:color w:val="auto"/>
                      <w:lang w:val="en-US" w:eastAsia="zh-CN"/>
                    </w:rPr>
                  </w:pPr>
                  <w:r>
                    <w:rPr>
                      <w:rFonts w:hint="eastAsia" w:ascii="宋体" w:hAnsi="宋体" w:cs="宋体"/>
                      <w:color w:val="auto"/>
                      <w:szCs w:val="21"/>
                      <w:highlight w:val="none"/>
                      <w:lang w:val="en-US" w:eastAsia="zh-CN"/>
                    </w:rPr>
                    <w:t>1.6</w:t>
                  </w:r>
                  <w:r>
                    <w:rPr>
                      <w:rFonts w:hint="eastAsia" w:ascii="宋体" w:hAnsi="宋体"/>
                      <w:color w:val="auto"/>
                      <w:szCs w:val="21"/>
                    </w:rPr>
                    <w:t>中标人</w:t>
                  </w:r>
                  <w:r>
                    <w:rPr>
                      <w:rFonts w:hint="eastAsia" w:ascii="宋体" w:hAnsi="宋体" w:cs="宋体"/>
                      <w:color w:val="auto"/>
                      <w:szCs w:val="21"/>
                      <w:highlight w:val="none"/>
                    </w:rPr>
                    <w:t>负责货物的现场安装和调试,提供货物安装、调试和维修所需的专用工具和辅助材料。</w:t>
                  </w:r>
                  <w:r>
                    <w:rPr>
                      <w:rFonts w:hint="eastAsia" w:ascii="宋体" w:hAnsi="宋体"/>
                      <w:color w:val="auto"/>
                      <w:szCs w:val="21"/>
                    </w:rPr>
                    <w:t>中标人</w:t>
                  </w:r>
                  <w:r>
                    <w:rPr>
                      <w:rFonts w:hint="eastAsia" w:ascii="宋体" w:hAnsi="宋体" w:cs="宋体"/>
                      <w:color w:val="auto"/>
                      <w:szCs w:val="21"/>
                      <w:highlight w:val="none"/>
                    </w:rPr>
                    <w:t>应在货物运至指定地点后</w:t>
                  </w:r>
                  <w:r>
                    <w:rPr>
                      <w:rFonts w:hint="eastAsia" w:ascii="宋体" w:hAnsi="宋体" w:cs="宋体"/>
                      <w:color w:val="auto"/>
                      <w:szCs w:val="21"/>
                      <w:highlight w:val="yellow"/>
                      <w:u w:val="single"/>
                      <w:lang w:val="en-US" w:eastAsia="zh-CN"/>
                    </w:rPr>
                    <w:t xml:space="preserve"> 5 </w:t>
                  </w:r>
                  <w:r>
                    <w:rPr>
                      <w:rFonts w:hint="eastAsia" w:ascii="宋体" w:hAnsi="宋体" w:cs="宋体"/>
                      <w:color w:val="auto"/>
                      <w:szCs w:val="21"/>
                      <w:highlight w:val="none"/>
                      <w:lang w:val="en-US" w:eastAsia="zh-CN"/>
                    </w:rPr>
                    <w:t>天</w:t>
                  </w:r>
                  <w:r>
                    <w:rPr>
                      <w:rFonts w:hint="eastAsia" w:ascii="宋体" w:hAnsi="宋体" w:cs="宋体"/>
                      <w:color w:val="auto"/>
                      <w:szCs w:val="21"/>
                      <w:highlight w:val="none"/>
                    </w:rPr>
                    <w:t>内开始安装调试,并在</w:t>
                  </w:r>
                  <w:r>
                    <w:rPr>
                      <w:rFonts w:hint="eastAsia" w:ascii="宋体" w:hAnsi="宋体" w:cs="宋体"/>
                      <w:bCs/>
                      <w:color w:val="auto"/>
                      <w:szCs w:val="21"/>
                      <w:highlight w:val="yellow"/>
                      <w:u w:val="single"/>
                    </w:rPr>
                    <w:t xml:space="preserve"> 5 </w:t>
                  </w:r>
                  <w:r>
                    <w:rPr>
                      <w:rFonts w:hint="eastAsia" w:ascii="宋体" w:hAnsi="宋体" w:cs="宋体"/>
                      <w:color w:val="auto"/>
                      <w:szCs w:val="21"/>
                      <w:highlight w:val="none"/>
                    </w:rPr>
                    <w:t>天内安装调试完毕。</w:t>
                  </w:r>
                </w:p>
              </w:tc>
            </w:tr>
            <w:tr w14:paraId="1FE2F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restart"/>
                  <w:vAlign w:val="center"/>
                </w:tcPr>
                <w:p w14:paraId="372B2ED7">
                  <w:pPr>
                    <w:jc w:val="center"/>
                    <w:rPr>
                      <w:rFonts w:asciiTheme="minorEastAsia" w:hAnsiTheme="minorEastAsia" w:eastAsiaTheme="minorEastAsia"/>
                      <w:b/>
                      <w:color w:val="auto"/>
                      <w:szCs w:val="21"/>
                    </w:rPr>
                  </w:pPr>
                  <w:r>
                    <w:rPr>
                      <w:rFonts w:hint="eastAsia" w:asciiTheme="minorEastAsia" w:hAnsiTheme="minorEastAsia" w:eastAsiaTheme="minorEastAsia"/>
                      <w:b/>
                      <w:color w:val="auto"/>
                      <w:szCs w:val="21"/>
                    </w:rPr>
                    <w:t>2</w:t>
                  </w:r>
                </w:p>
              </w:tc>
              <w:tc>
                <w:tcPr>
                  <w:tcW w:w="917" w:type="pct"/>
                  <w:vMerge w:val="restart"/>
                  <w:vAlign w:val="center"/>
                </w:tcPr>
                <w:p w14:paraId="31DB0506">
                  <w:pPr>
                    <w:jc w:val="center"/>
                    <w:rPr>
                      <w:rFonts w:asciiTheme="minorEastAsia" w:hAnsiTheme="minorEastAsia" w:eastAsiaTheme="minorEastAsia"/>
                      <w:color w:val="auto"/>
                      <w:szCs w:val="21"/>
                    </w:rPr>
                  </w:pPr>
                  <w:r>
                    <w:rPr>
                      <w:rFonts w:hint="eastAsia" w:asciiTheme="minorEastAsia" w:hAnsiTheme="minorEastAsia" w:eastAsiaTheme="minorEastAsia"/>
                      <w:color w:val="auto"/>
                      <w:szCs w:val="21"/>
                    </w:rPr>
                    <w:t>关于验收</w:t>
                  </w:r>
                </w:p>
              </w:tc>
              <w:tc>
                <w:tcPr>
                  <w:tcW w:w="3377" w:type="pct"/>
                </w:tcPr>
                <w:p w14:paraId="2B9BAF69">
                  <w:pPr>
                    <w:spacing w:line="340" w:lineRule="exact"/>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2.1</w:t>
                  </w:r>
                  <w:r>
                    <w:rPr>
                      <w:rFonts w:hint="eastAsia" w:ascii="宋体" w:hAnsi="宋体"/>
                      <w:color w:val="auto"/>
                      <w:szCs w:val="21"/>
                    </w:rPr>
                    <w:t>中标人</w:t>
                  </w:r>
                  <w:r>
                    <w:rPr>
                      <w:rFonts w:hint="eastAsia" w:asciiTheme="minorEastAsia" w:hAnsiTheme="minorEastAsia" w:eastAsiaTheme="minorEastAsia"/>
                      <w:bCs/>
                      <w:color w:val="auto"/>
                      <w:szCs w:val="21"/>
                    </w:rPr>
                    <w:t>货物经过双方检验认可后，签署验收报告，产品保修期自验收合格之日起算，由投标人提供产品保修文件。</w:t>
                  </w:r>
                </w:p>
              </w:tc>
            </w:tr>
            <w:tr w14:paraId="17780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00C46BA2">
                  <w:pPr>
                    <w:jc w:val="center"/>
                    <w:rPr>
                      <w:rFonts w:asciiTheme="minorEastAsia" w:hAnsiTheme="minorEastAsia" w:eastAsiaTheme="minorEastAsia"/>
                      <w:b/>
                      <w:color w:val="auto"/>
                      <w:szCs w:val="21"/>
                    </w:rPr>
                  </w:pPr>
                </w:p>
              </w:tc>
              <w:tc>
                <w:tcPr>
                  <w:tcW w:w="917" w:type="pct"/>
                  <w:vMerge w:val="continue"/>
                  <w:vAlign w:val="center"/>
                </w:tcPr>
                <w:p w14:paraId="63F06AE5">
                  <w:pPr>
                    <w:jc w:val="center"/>
                    <w:rPr>
                      <w:rFonts w:asciiTheme="minorEastAsia" w:hAnsiTheme="minorEastAsia" w:eastAsiaTheme="minorEastAsia"/>
                      <w:b/>
                      <w:color w:val="auto"/>
                      <w:szCs w:val="21"/>
                    </w:rPr>
                  </w:pPr>
                </w:p>
              </w:tc>
              <w:tc>
                <w:tcPr>
                  <w:tcW w:w="3377" w:type="pct"/>
                </w:tcPr>
                <w:p w14:paraId="22C18784">
                  <w:pPr>
                    <w:spacing w:line="340" w:lineRule="exact"/>
                    <w:rPr>
                      <w:rFonts w:asciiTheme="minorEastAsia" w:hAnsiTheme="minorEastAsia" w:eastAsiaTheme="minorEastAsia"/>
                      <w:bCs/>
                      <w:color w:val="auto"/>
                      <w:szCs w:val="21"/>
                    </w:rPr>
                  </w:pPr>
                  <w:r>
                    <w:rPr>
                      <w:rFonts w:hint="eastAsia" w:asciiTheme="minorEastAsia" w:hAnsiTheme="minorEastAsia" w:eastAsiaTheme="minorEastAsia"/>
                      <w:bCs/>
                      <w:color w:val="auto"/>
                      <w:szCs w:val="21"/>
                    </w:rPr>
                    <w:t>2.2当满足以下条件时，采购人才向中标人签发货物验收报告：</w:t>
                  </w:r>
                </w:p>
                <w:p w14:paraId="19BCC12B">
                  <w:pPr>
                    <w:tabs>
                      <w:tab w:val="left" w:pos="1260"/>
                    </w:tabs>
                    <w:spacing w:line="340" w:lineRule="exact"/>
                    <w:rPr>
                      <w:rFonts w:asciiTheme="minorEastAsia" w:hAnsiTheme="minorEastAsia" w:eastAsiaTheme="minorEastAsia"/>
                      <w:bCs/>
                      <w:color w:val="auto"/>
                      <w:szCs w:val="21"/>
                    </w:rPr>
                  </w:pPr>
                  <w:r>
                    <w:rPr>
                      <w:rFonts w:asciiTheme="minorEastAsia" w:hAnsiTheme="minorEastAsia" w:eastAsiaTheme="minorEastAsia"/>
                      <w:bCs/>
                      <w:color w:val="auto"/>
                      <w:szCs w:val="21"/>
                    </w:rPr>
                    <w:t>a</w:t>
                  </w:r>
                  <w:r>
                    <w:rPr>
                      <w:rFonts w:hint="eastAsia" w:asciiTheme="minorEastAsia" w:hAnsiTheme="minorEastAsia" w:eastAsiaTheme="minorEastAsia"/>
                      <w:bCs/>
                      <w:color w:val="auto"/>
                      <w:szCs w:val="21"/>
                    </w:rPr>
                    <w:t>、中标人已按照合同规定提供了全部产品及完整的技术资料。</w:t>
                  </w:r>
                </w:p>
                <w:p w14:paraId="50B6AEEA">
                  <w:pPr>
                    <w:tabs>
                      <w:tab w:val="left" w:pos="1260"/>
                    </w:tabs>
                    <w:spacing w:line="340" w:lineRule="exact"/>
                    <w:rPr>
                      <w:rFonts w:asciiTheme="minorEastAsia" w:hAnsiTheme="minorEastAsia" w:eastAsiaTheme="minorEastAsia"/>
                      <w:bCs/>
                      <w:color w:val="auto"/>
                      <w:szCs w:val="21"/>
                    </w:rPr>
                  </w:pPr>
                  <w:r>
                    <w:rPr>
                      <w:rFonts w:asciiTheme="minorEastAsia" w:hAnsiTheme="minorEastAsia" w:eastAsiaTheme="minorEastAsia"/>
                      <w:bCs/>
                      <w:color w:val="auto"/>
                      <w:szCs w:val="21"/>
                    </w:rPr>
                    <w:t>b</w:t>
                  </w:r>
                  <w:r>
                    <w:rPr>
                      <w:rFonts w:hint="eastAsia" w:asciiTheme="minorEastAsia" w:hAnsiTheme="minorEastAsia" w:eastAsiaTheme="minorEastAsia"/>
                      <w:bCs/>
                      <w:color w:val="auto"/>
                      <w:szCs w:val="21"/>
                    </w:rPr>
                    <w:t>、货物符合招标文件技术规格书的要求，性能满足要求。</w:t>
                  </w:r>
                </w:p>
              </w:tc>
            </w:tr>
            <w:tr w14:paraId="07107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5FEDBE6F">
                  <w:pPr>
                    <w:jc w:val="center"/>
                    <w:rPr>
                      <w:rFonts w:asciiTheme="minorEastAsia" w:hAnsiTheme="minorEastAsia" w:eastAsiaTheme="minorEastAsia"/>
                      <w:b/>
                      <w:color w:val="auto"/>
                      <w:szCs w:val="21"/>
                    </w:rPr>
                  </w:pPr>
                </w:p>
              </w:tc>
              <w:tc>
                <w:tcPr>
                  <w:tcW w:w="917" w:type="pct"/>
                  <w:vMerge w:val="continue"/>
                  <w:vAlign w:val="center"/>
                </w:tcPr>
                <w:p w14:paraId="1A0B9408">
                  <w:pPr>
                    <w:jc w:val="center"/>
                    <w:rPr>
                      <w:rFonts w:asciiTheme="minorEastAsia" w:hAnsiTheme="minorEastAsia" w:eastAsiaTheme="minorEastAsia"/>
                      <w:b/>
                      <w:color w:val="auto"/>
                      <w:szCs w:val="21"/>
                    </w:rPr>
                  </w:pPr>
                </w:p>
              </w:tc>
              <w:tc>
                <w:tcPr>
                  <w:tcW w:w="3377" w:type="pct"/>
                </w:tcPr>
                <w:p w14:paraId="5D580A92">
                  <w:pPr>
                    <w:rPr>
                      <w:rFonts w:asciiTheme="minorEastAsia" w:hAnsiTheme="minorEastAsia" w:eastAsiaTheme="minorEastAsia"/>
                      <w:b/>
                      <w:color w:val="auto"/>
                      <w:szCs w:val="21"/>
                    </w:rPr>
                  </w:pPr>
                  <w:r>
                    <w:rPr>
                      <w:rFonts w:hint="eastAsia" w:asciiTheme="minorEastAsia" w:hAnsiTheme="minorEastAsia" w:eastAsiaTheme="minorEastAsia"/>
                      <w:bCs/>
                      <w:color w:val="auto"/>
                      <w:szCs w:val="21"/>
                    </w:rPr>
                    <w:t>2.3</w:t>
                  </w:r>
                  <w:r>
                    <w:rPr>
                      <w:rFonts w:hint="eastAsia" w:ascii="宋体" w:hAnsi="宋体" w:cs="宋体"/>
                      <w:color w:val="auto"/>
                      <w:szCs w:val="21"/>
                      <w:highlight w:val="none"/>
                    </w:rPr>
                    <w:t>由</w:t>
                  </w:r>
                  <w:r>
                    <w:rPr>
                      <w:rFonts w:hint="eastAsia" w:ascii="宋体" w:hAnsi="宋体"/>
                      <w:color w:val="auto"/>
                      <w:szCs w:val="21"/>
                    </w:rPr>
                    <w:t>中标人</w:t>
                  </w:r>
                  <w:r>
                    <w:rPr>
                      <w:rFonts w:hint="eastAsia" w:ascii="宋体" w:hAnsi="宋体" w:cs="宋体"/>
                      <w:color w:val="auto"/>
                      <w:szCs w:val="21"/>
                      <w:highlight w:val="none"/>
                    </w:rPr>
                    <w:t>代表和采购人组成验收小组对产品进行验收。验收标准按照国家规定标准执行。经检验设备正常运作后签署验收报告,产品保修期自验收合格之日起算。</w:t>
                  </w:r>
                </w:p>
              </w:tc>
            </w:tr>
            <w:tr w14:paraId="2CD8E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restart"/>
                  <w:vAlign w:val="center"/>
                </w:tcPr>
                <w:p w14:paraId="1B34FF70">
                  <w:pPr>
                    <w:jc w:val="center"/>
                    <w:rPr>
                      <w:rFonts w:asciiTheme="minorEastAsia" w:hAnsiTheme="minorEastAsia" w:eastAsiaTheme="minorEastAsia"/>
                      <w:color w:val="auto"/>
                      <w:szCs w:val="21"/>
                    </w:rPr>
                  </w:pPr>
                  <w:r>
                    <w:rPr>
                      <w:rFonts w:hint="eastAsia" w:asciiTheme="minorEastAsia" w:hAnsiTheme="minorEastAsia" w:eastAsiaTheme="minorEastAsia"/>
                      <w:b/>
                      <w:color w:val="auto"/>
                      <w:szCs w:val="21"/>
                    </w:rPr>
                    <w:t>3</w:t>
                  </w:r>
                </w:p>
              </w:tc>
              <w:tc>
                <w:tcPr>
                  <w:tcW w:w="917" w:type="pct"/>
                  <w:vMerge w:val="restart"/>
                  <w:vAlign w:val="center"/>
                </w:tcPr>
                <w:p w14:paraId="5DEE3E17">
                  <w:pPr>
                    <w:jc w:val="center"/>
                    <w:rPr>
                      <w:rFonts w:asciiTheme="minorEastAsia" w:hAnsiTheme="minorEastAsia" w:eastAsiaTheme="minorEastAsia"/>
                      <w:b/>
                      <w:color w:val="auto"/>
                      <w:szCs w:val="21"/>
                    </w:rPr>
                  </w:pPr>
                  <w:r>
                    <w:rPr>
                      <w:rFonts w:hint="eastAsia" w:asciiTheme="minorEastAsia" w:hAnsiTheme="minorEastAsia" w:eastAsiaTheme="minorEastAsia"/>
                      <w:color w:val="auto"/>
                      <w:szCs w:val="21"/>
                    </w:rPr>
                    <w:t>关于违约</w:t>
                  </w:r>
                </w:p>
              </w:tc>
              <w:tc>
                <w:tcPr>
                  <w:tcW w:w="3377" w:type="pct"/>
                </w:tcPr>
                <w:p w14:paraId="686904A7">
                  <w:pPr>
                    <w:rPr>
                      <w:rFonts w:asciiTheme="minorEastAsia" w:hAnsiTheme="minorEastAsia" w:eastAsiaTheme="minorEastAsia"/>
                      <w:b/>
                      <w:color w:val="auto"/>
                      <w:szCs w:val="21"/>
                    </w:rPr>
                  </w:pPr>
                  <w:r>
                    <w:rPr>
                      <w:rFonts w:hint="eastAsia" w:asciiTheme="minorEastAsia" w:hAnsiTheme="minorEastAsia" w:eastAsiaTheme="minorEastAsia"/>
                      <w:b w:val="0"/>
                      <w:bCs/>
                      <w:color w:val="auto"/>
                      <w:szCs w:val="21"/>
                    </w:rPr>
                    <w:t>3.1</w:t>
                  </w:r>
                  <w:r>
                    <w:rPr>
                      <w:rFonts w:hint="eastAsia" w:ascii="宋体" w:hAnsi="宋体"/>
                      <w:b w:val="0"/>
                      <w:bCs/>
                      <w:color w:val="auto"/>
                      <w:szCs w:val="21"/>
                    </w:rPr>
                    <w:t>中标</w:t>
                  </w:r>
                  <w:r>
                    <w:rPr>
                      <w:rFonts w:hint="eastAsia" w:ascii="宋体" w:hAnsi="宋体"/>
                      <w:color w:val="auto"/>
                      <w:szCs w:val="21"/>
                    </w:rPr>
                    <w:t>人</w:t>
                  </w:r>
                  <w:r>
                    <w:rPr>
                      <w:rFonts w:hint="eastAsia" w:ascii="宋体" w:hAnsi="宋体" w:cs="宋体"/>
                      <w:bCs/>
                      <w:color w:val="auto"/>
                      <w:szCs w:val="21"/>
                      <w:highlight w:val="none"/>
                    </w:rPr>
                    <w:t>未按照投标文件中承诺的时间交货或提供服务，投标人</w:t>
                  </w:r>
                  <w:r>
                    <w:rPr>
                      <w:rFonts w:hint="eastAsia" w:ascii="宋体" w:hAnsi="宋体" w:cs="宋体"/>
                      <w:color w:val="auto"/>
                      <w:szCs w:val="21"/>
                      <w:highlight w:val="none"/>
                    </w:rPr>
                    <w:t>应承担</w:t>
                  </w:r>
                  <w:r>
                    <w:rPr>
                      <w:rFonts w:hint="eastAsia" w:ascii="宋体" w:hAnsi="宋体" w:cs="宋体"/>
                      <w:bCs/>
                      <w:color w:val="auto"/>
                      <w:szCs w:val="21"/>
                      <w:highlight w:val="none"/>
                    </w:rPr>
                    <w:t>延期交货和延期服务的违约责任，并赔偿采购人因此造成的实际经济损失。实际经济损失超出履约保证金额，采购人有权终止合同。</w:t>
                  </w:r>
                </w:p>
              </w:tc>
            </w:tr>
            <w:tr w14:paraId="43215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2A1D288F">
                  <w:pPr>
                    <w:jc w:val="center"/>
                    <w:rPr>
                      <w:rFonts w:hint="eastAsia" w:asciiTheme="minorEastAsia" w:hAnsiTheme="minorEastAsia" w:eastAsiaTheme="minorEastAsia"/>
                      <w:b/>
                      <w:color w:val="auto"/>
                      <w:szCs w:val="21"/>
                    </w:rPr>
                  </w:pPr>
                </w:p>
              </w:tc>
              <w:tc>
                <w:tcPr>
                  <w:tcW w:w="917" w:type="pct"/>
                  <w:vMerge w:val="continue"/>
                  <w:vAlign w:val="center"/>
                </w:tcPr>
                <w:p w14:paraId="382D0A21">
                  <w:pPr>
                    <w:jc w:val="center"/>
                    <w:rPr>
                      <w:rFonts w:hint="eastAsia" w:asciiTheme="minorEastAsia" w:hAnsiTheme="minorEastAsia" w:eastAsiaTheme="minorEastAsia"/>
                      <w:color w:val="auto"/>
                      <w:szCs w:val="21"/>
                    </w:rPr>
                  </w:pPr>
                </w:p>
              </w:tc>
              <w:tc>
                <w:tcPr>
                  <w:tcW w:w="3377" w:type="pct"/>
                </w:tcPr>
                <w:p w14:paraId="549A3328">
                  <w:pPr>
                    <w:rPr>
                      <w:rFonts w:hint="eastAsia" w:asciiTheme="minorEastAsia" w:hAnsiTheme="minorEastAsia" w:eastAsiaTheme="minorEastAsia"/>
                      <w:b/>
                      <w:color w:val="auto"/>
                      <w:szCs w:val="21"/>
                    </w:rPr>
                  </w:pPr>
                  <w:r>
                    <w:rPr>
                      <w:rFonts w:hint="eastAsia" w:ascii="宋体" w:hAnsi="宋体" w:cs="宋体"/>
                      <w:bCs/>
                      <w:color w:val="auto"/>
                      <w:szCs w:val="21"/>
                      <w:highlight w:val="none"/>
                      <w:lang w:val="en-US" w:eastAsia="zh-CN"/>
                    </w:rPr>
                    <w:t>3.2</w:t>
                  </w:r>
                  <w:r>
                    <w:rPr>
                      <w:rFonts w:hint="eastAsia" w:ascii="宋体" w:hAnsi="宋体"/>
                      <w:color w:val="auto"/>
                      <w:szCs w:val="21"/>
                    </w:rPr>
                    <w:t>中标人</w:t>
                  </w:r>
                  <w:r>
                    <w:rPr>
                      <w:rFonts w:hint="eastAsia" w:ascii="宋体" w:hAnsi="宋体" w:cs="宋体"/>
                      <w:bCs/>
                      <w:color w:val="auto"/>
                      <w:szCs w:val="21"/>
                      <w:highlight w:val="none"/>
                    </w:rPr>
                    <w:t>所交设备的品种、型号、规格、质量、功能、技术参数等方面不能实质性满足招标文件</w:t>
                  </w:r>
                  <w:r>
                    <w:rPr>
                      <w:rFonts w:hint="eastAsia" w:ascii="宋体" w:hAnsi="宋体" w:cs="宋体"/>
                      <w:bCs/>
                      <w:color w:val="auto"/>
                      <w:szCs w:val="21"/>
                      <w:highlight w:val="none"/>
                      <w:lang w:eastAsia="zh-CN"/>
                    </w:rPr>
                    <w:t>要求</w:t>
                  </w:r>
                  <w:r>
                    <w:rPr>
                      <w:rFonts w:hint="eastAsia" w:ascii="宋体" w:hAnsi="宋体" w:cs="宋体"/>
                      <w:bCs/>
                      <w:color w:val="auto"/>
                      <w:szCs w:val="21"/>
                      <w:highlight w:val="none"/>
                    </w:rPr>
                    <w:t>的，采购人有权拒绝收货，</w:t>
                  </w:r>
                  <w:r>
                    <w:rPr>
                      <w:rFonts w:hint="eastAsia" w:ascii="宋体" w:hAnsi="宋体"/>
                      <w:color w:val="auto"/>
                      <w:szCs w:val="21"/>
                    </w:rPr>
                    <w:t>中标人</w:t>
                  </w:r>
                  <w:r>
                    <w:rPr>
                      <w:rFonts w:hint="eastAsia" w:ascii="宋体" w:hAnsi="宋体" w:cs="宋体"/>
                      <w:bCs/>
                      <w:color w:val="auto"/>
                      <w:szCs w:val="21"/>
                      <w:highlight w:val="none"/>
                    </w:rPr>
                    <w:t>向采购人偿付项目采购金额千分之</w:t>
                  </w:r>
                  <w:r>
                    <w:rPr>
                      <w:rFonts w:hint="eastAsia" w:ascii="宋体" w:hAnsi="宋体" w:cs="宋体"/>
                      <w:bCs/>
                      <w:color w:val="auto"/>
                      <w:szCs w:val="21"/>
                      <w:highlight w:val="none"/>
                      <w:u w:val="single"/>
                    </w:rPr>
                    <w:t xml:space="preserve"> 10 </w:t>
                  </w:r>
                  <w:r>
                    <w:rPr>
                      <w:rFonts w:hint="eastAsia" w:ascii="宋体" w:hAnsi="宋体" w:cs="宋体"/>
                      <w:bCs/>
                      <w:color w:val="auto"/>
                      <w:szCs w:val="21"/>
                      <w:highlight w:val="none"/>
                    </w:rPr>
                    <w:t>的违约金；造成严重后果的，根据《深圳经济特区政府采购条例》第五十七条第（二）款规定，由主管部门对投标人进行处罚。</w:t>
                  </w:r>
                </w:p>
              </w:tc>
            </w:tr>
            <w:tr w14:paraId="675BF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273B021D">
                  <w:pPr>
                    <w:jc w:val="center"/>
                    <w:rPr>
                      <w:rFonts w:hint="eastAsia" w:asciiTheme="minorEastAsia" w:hAnsiTheme="minorEastAsia" w:eastAsiaTheme="minorEastAsia"/>
                      <w:b/>
                      <w:color w:val="auto"/>
                      <w:szCs w:val="21"/>
                    </w:rPr>
                  </w:pPr>
                </w:p>
              </w:tc>
              <w:tc>
                <w:tcPr>
                  <w:tcW w:w="917" w:type="pct"/>
                  <w:vMerge w:val="continue"/>
                  <w:vAlign w:val="center"/>
                </w:tcPr>
                <w:p w14:paraId="159D4C42">
                  <w:pPr>
                    <w:jc w:val="center"/>
                    <w:rPr>
                      <w:rFonts w:hint="eastAsia" w:asciiTheme="minorEastAsia" w:hAnsiTheme="minorEastAsia" w:eastAsiaTheme="minorEastAsia"/>
                      <w:color w:val="auto"/>
                      <w:szCs w:val="21"/>
                    </w:rPr>
                  </w:pPr>
                </w:p>
              </w:tc>
              <w:tc>
                <w:tcPr>
                  <w:tcW w:w="3377" w:type="pct"/>
                </w:tcPr>
                <w:p w14:paraId="4DB3ED98">
                  <w:pPr>
                    <w:rPr>
                      <w:rFonts w:hint="eastAsia" w:ascii="宋体" w:hAnsi="宋体" w:cs="宋体"/>
                      <w:bCs/>
                      <w:color w:val="auto"/>
                      <w:szCs w:val="21"/>
                      <w:highlight w:val="none"/>
                      <w:lang w:val="en-US" w:eastAsia="zh-CN"/>
                    </w:rPr>
                  </w:pPr>
                  <w:r>
                    <w:rPr>
                      <w:rFonts w:hint="eastAsia" w:ascii="宋体" w:hAnsi="宋体" w:cs="宋体"/>
                      <w:bCs/>
                      <w:color w:val="auto"/>
                      <w:szCs w:val="21"/>
                      <w:highlight w:val="none"/>
                      <w:lang w:val="en-US" w:eastAsia="zh-CN"/>
                    </w:rPr>
                    <w:t>3.3</w:t>
                  </w:r>
                  <w:r>
                    <w:rPr>
                      <w:rFonts w:hint="eastAsia" w:ascii="宋体" w:hAnsi="宋体"/>
                      <w:color w:val="auto"/>
                      <w:szCs w:val="21"/>
                      <w:highlight w:val="none"/>
                    </w:rPr>
                    <w:t>中标人</w:t>
                  </w:r>
                  <w:r>
                    <w:rPr>
                      <w:rFonts w:hint="eastAsia" w:ascii="宋体" w:hAnsi="宋体" w:cs="宋体"/>
                      <w:bCs/>
                      <w:color w:val="auto"/>
                      <w:szCs w:val="21"/>
                      <w:highlight w:val="none"/>
                    </w:rPr>
                    <w:t>不能交付设备的，投标人向采购人偿付项目采购金额百分之</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u w:val="single"/>
                      <w:lang w:val="en-US" w:eastAsia="zh-CN"/>
                    </w:rPr>
                    <w:t>5</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的违约金；造成严重后果的，根据《深圳经济特区政府采购条例》第五十七条第（二）款规定，由主管部门对投标人进行处罚。</w:t>
                  </w:r>
                </w:p>
              </w:tc>
            </w:tr>
            <w:tr w14:paraId="24700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Merge w:val="continue"/>
                  <w:vAlign w:val="center"/>
                </w:tcPr>
                <w:p w14:paraId="5C6911EF">
                  <w:pPr>
                    <w:jc w:val="center"/>
                    <w:rPr>
                      <w:rFonts w:hint="eastAsia" w:asciiTheme="minorEastAsia" w:hAnsiTheme="minorEastAsia" w:eastAsiaTheme="minorEastAsia"/>
                      <w:b/>
                      <w:color w:val="auto"/>
                      <w:szCs w:val="21"/>
                    </w:rPr>
                  </w:pPr>
                </w:p>
              </w:tc>
              <w:tc>
                <w:tcPr>
                  <w:tcW w:w="917" w:type="pct"/>
                  <w:vMerge w:val="continue"/>
                  <w:vAlign w:val="center"/>
                </w:tcPr>
                <w:p w14:paraId="74730CD9">
                  <w:pPr>
                    <w:jc w:val="center"/>
                    <w:rPr>
                      <w:rFonts w:hint="eastAsia" w:asciiTheme="minorEastAsia" w:hAnsiTheme="minorEastAsia" w:eastAsiaTheme="minorEastAsia"/>
                      <w:color w:val="auto"/>
                      <w:szCs w:val="21"/>
                    </w:rPr>
                  </w:pPr>
                </w:p>
              </w:tc>
              <w:tc>
                <w:tcPr>
                  <w:tcW w:w="3377" w:type="pct"/>
                </w:tcPr>
                <w:p w14:paraId="4433BBE1">
                  <w:pPr>
                    <w:rPr>
                      <w:rFonts w:hint="eastAsia" w:ascii="宋体" w:hAnsi="宋体" w:cs="宋体"/>
                      <w:bCs/>
                      <w:color w:val="auto"/>
                      <w:szCs w:val="21"/>
                      <w:highlight w:val="none"/>
                    </w:rPr>
                  </w:pPr>
                  <w:r>
                    <w:rPr>
                      <w:rFonts w:hint="eastAsia" w:ascii="宋体" w:hAnsi="宋体" w:cs="宋体"/>
                      <w:bCs/>
                      <w:color w:val="auto"/>
                      <w:szCs w:val="21"/>
                      <w:highlight w:val="none"/>
                      <w:lang w:val="en-US" w:eastAsia="zh-CN"/>
                    </w:rPr>
                    <w:t>3.4</w:t>
                  </w:r>
                  <w:r>
                    <w:rPr>
                      <w:rFonts w:hint="eastAsia" w:ascii="宋体" w:hAnsi="宋体"/>
                      <w:color w:val="auto"/>
                      <w:szCs w:val="21"/>
                      <w:highlight w:val="none"/>
                    </w:rPr>
                    <w:t>中标人</w:t>
                  </w:r>
                  <w:r>
                    <w:rPr>
                      <w:rFonts w:hint="eastAsia" w:ascii="宋体" w:hAnsi="宋体" w:cs="宋体"/>
                      <w:bCs/>
                      <w:color w:val="auto"/>
                      <w:szCs w:val="21"/>
                      <w:highlight w:val="none"/>
                    </w:rPr>
                    <w:t>逾期未交设备的，</w:t>
                  </w:r>
                  <w:r>
                    <w:rPr>
                      <w:rFonts w:hint="eastAsia" w:ascii="宋体" w:hAnsi="宋体"/>
                      <w:color w:val="auto"/>
                      <w:szCs w:val="21"/>
                      <w:highlight w:val="none"/>
                    </w:rPr>
                    <w:t>中标人</w:t>
                  </w:r>
                  <w:r>
                    <w:rPr>
                      <w:rFonts w:hint="eastAsia" w:ascii="宋体" w:hAnsi="宋体" w:cs="宋体"/>
                      <w:bCs/>
                      <w:color w:val="auto"/>
                      <w:szCs w:val="21"/>
                      <w:highlight w:val="none"/>
                    </w:rPr>
                    <w:t>向采购人每日偿付设备款千分之</w:t>
                  </w:r>
                  <w:r>
                    <w:rPr>
                      <w:rFonts w:hint="eastAsia" w:ascii="宋体" w:hAnsi="宋体" w:cs="宋体"/>
                      <w:bCs/>
                      <w:color w:val="auto"/>
                      <w:szCs w:val="21"/>
                      <w:highlight w:val="none"/>
                      <w:u w:val="single"/>
                    </w:rPr>
                    <w:t xml:space="preserve"> 1</w:t>
                  </w:r>
                  <w:r>
                    <w:rPr>
                      <w:rFonts w:hint="eastAsia" w:ascii="宋体" w:hAnsi="宋体" w:cs="宋体"/>
                      <w:bCs/>
                      <w:color w:val="auto"/>
                      <w:szCs w:val="21"/>
                      <w:highlight w:val="none"/>
                    </w:rPr>
                    <w:t>的违约金。中标人超过交货期限</w:t>
                  </w:r>
                  <w:r>
                    <w:rPr>
                      <w:rFonts w:hint="eastAsia" w:ascii="宋体" w:hAnsi="宋体" w:cs="宋体"/>
                      <w:bCs/>
                      <w:color w:val="auto"/>
                      <w:szCs w:val="21"/>
                      <w:highlight w:val="none"/>
                      <w:u w:val="single"/>
                    </w:rPr>
                    <w:t xml:space="preserve"> 10 </w:t>
                  </w:r>
                  <w:r>
                    <w:rPr>
                      <w:rFonts w:hint="eastAsia" w:ascii="宋体" w:hAnsi="宋体" w:cs="宋体"/>
                      <w:bCs/>
                      <w:color w:val="auto"/>
                      <w:szCs w:val="21"/>
                      <w:highlight w:val="none"/>
                    </w:rPr>
                    <w:t>日仍未交货，采购人有权解除合同</w:t>
                  </w:r>
                </w:p>
              </w:tc>
            </w:tr>
            <w:tr w14:paraId="38084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705" w:type="pct"/>
                  <w:vMerge w:val="continue"/>
                  <w:vAlign w:val="center"/>
                </w:tcPr>
                <w:p w14:paraId="73BEEE36">
                  <w:pPr>
                    <w:jc w:val="center"/>
                    <w:rPr>
                      <w:rFonts w:hint="eastAsia" w:asciiTheme="minorEastAsia" w:hAnsiTheme="minorEastAsia" w:eastAsiaTheme="minorEastAsia"/>
                      <w:b/>
                      <w:color w:val="auto"/>
                      <w:szCs w:val="21"/>
                    </w:rPr>
                  </w:pPr>
                </w:p>
              </w:tc>
              <w:tc>
                <w:tcPr>
                  <w:tcW w:w="917" w:type="pct"/>
                  <w:vMerge w:val="continue"/>
                  <w:vAlign w:val="center"/>
                </w:tcPr>
                <w:p w14:paraId="2F7C1609">
                  <w:pPr>
                    <w:jc w:val="center"/>
                    <w:rPr>
                      <w:rFonts w:hint="eastAsia" w:asciiTheme="minorEastAsia" w:hAnsiTheme="minorEastAsia" w:eastAsiaTheme="minorEastAsia"/>
                      <w:color w:val="auto"/>
                      <w:szCs w:val="21"/>
                    </w:rPr>
                  </w:pPr>
                </w:p>
              </w:tc>
              <w:tc>
                <w:tcPr>
                  <w:tcW w:w="3377" w:type="pct"/>
                </w:tcPr>
                <w:p w14:paraId="7E547183">
                  <w:pPr>
                    <w:rPr>
                      <w:rFonts w:hint="eastAsia" w:ascii="宋体" w:hAnsi="宋体" w:cs="宋体"/>
                      <w:bCs/>
                      <w:color w:val="auto"/>
                      <w:szCs w:val="21"/>
                      <w:highlight w:val="none"/>
                    </w:rPr>
                  </w:pPr>
                  <w:r>
                    <w:rPr>
                      <w:rFonts w:hint="eastAsia" w:ascii="宋体" w:hAnsi="宋体" w:cs="宋体"/>
                      <w:b w:val="0"/>
                      <w:bCs/>
                      <w:color w:val="auto"/>
                      <w:szCs w:val="21"/>
                      <w:highlight w:val="none"/>
                      <w:lang w:val="en-US" w:eastAsia="zh-CN"/>
                    </w:rPr>
                    <w:t>3.5</w:t>
                  </w:r>
                  <w:r>
                    <w:rPr>
                      <w:rFonts w:hint="eastAsia" w:ascii="宋体" w:hAnsi="宋体"/>
                      <w:b w:val="0"/>
                      <w:bCs/>
                      <w:color w:val="auto"/>
                      <w:szCs w:val="21"/>
                    </w:rPr>
                    <w:t>中标人</w:t>
                  </w:r>
                  <w:r>
                    <w:rPr>
                      <w:rFonts w:hint="eastAsia" w:asciiTheme="minorEastAsia" w:hAnsiTheme="minorEastAsia" w:eastAsiaTheme="minorEastAsia"/>
                      <w:b w:val="0"/>
                      <w:bCs/>
                      <w:color w:val="auto"/>
                      <w:szCs w:val="21"/>
                    </w:rPr>
                    <w:t>逾期交货的，将被没收履约保证金并按主管部门相关规定处理</w:t>
                  </w:r>
                  <w:r>
                    <w:rPr>
                      <w:rFonts w:hint="eastAsia" w:asciiTheme="minorEastAsia" w:hAnsiTheme="minorEastAsia" w:eastAsiaTheme="minorEastAsia"/>
                      <w:b w:val="0"/>
                      <w:bCs/>
                      <w:color w:val="auto"/>
                      <w:szCs w:val="21"/>
                      <w:lang w:eastAsia="zh-CN"/>
                    </w:rPr>
                    <w:t>，</w:t>
                  </w:r>
                  <w:r>
                    <w:rPr>
                      <w:rFonts w:hint="eastAsia" w:ascii="宋体" w:hAnsi="宋体" w:cs="宋体"/>
                      <w:b w:val="0"/>
                      <w:bCs/>
                      <w:color w:val="auto"/>
                      <w:szCs w:val="21"/>
                      <w:highlight w:val="none"/>
                    </w:rPr>
                    <w:t>违约金先从由投标人履约保证金中扣除，若有不足部分则由</w:t>
                  </w:r>
                  <w:r>
                    <w:rPr>
                      <w:rFonts w:hint="eastAsia" w:ascii="宋体" w:hAnsi="宋体"/>
                      <w:b w:val="0"/>
                      <w:bCs/>
                      <w:color w:val="auto"/>
                      <w:szCs w:val="21"/>
                    </w:rPr>
                    <w:t>中标人</w:t>
                  </w:r>
                  <w:r>
                    <w:rPr>
                      <w:rFonts w:hint="eastAsia" w:ascii="宋体" w:hAnsi="宋体" w:cs="宋体"/>
                      <w:b w:val="0"/>
                      <w:bCs/>
                      <w:color w:val="auto"/>
                      <w:szCs w:val="21"/>
                      <w:highlight w:val="none"/>
                    </w:rPr>
                    <w:t>补齐。</w:t>
                  </w:r>
                </w:p>
              </w:tc>
            </w:tr>
            <w:tr w14:paraId="74904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trPr>
              <w:tc>
                <w:tcPr>
                  <w:tcW w:w="705" w:type="pct"/>
                  <w:vMerge w:val="continue"/>
                  <w:vAlign w:val="center"/>
                </w:tcPr>
                <w:p w14:paraId="3853D54F">
                  <w:pPr>
                    <w:jc w:val="center"/>
                    <w:rPr>
                      <w:rFonts w:asciiTheme="minorEastAsia" w:hAnsiTheme="minorEastAsia" w:eastAsiaTheme="minorEastAsia"/>
                      <w:b/>
                      <w:color w:val="auto"/>
                      <w:szCs w:val="21"/>
                    </w:rPr>
                  </w:pPr>
                </w:p>
              </w:tc>
              <w:tc>
                <w:tcPr>
                  <w:tcW w:w="917" w:type="pct"/>
                  <w:vMerge w:val="continue"/>
                  <w:vAlign w:val="center"/>
                </w:tcPr>
                <w:p w14:paraId="3CDB20EF">
                  <w:pPr>
                    <w:jc w:val="center"/>
                    <w:rPr>
                      <w:rFonts w:asciiTheme="minorEastAsia" w:hAnsiTheme="minorEastAsia" w:eastAsiaTheme="minorEastAsia"/>
                      <w:color w:val="auto"/>
                      <w:szCs w:val="21"/>
                    </w:rPr>
                  </w:pPr>
                </w:p>
              </w:tc>
              <w:tc>
                <w:tcPr>
                  <w:tcW w:w="3377" w:type="pct"/>
                </w:tcPr>
                <w:p w14:paraId="2ABC8763">
                  <w:pPr>
                    <w:rPr>
                      <w:rFonts w:asciiTheme="minorEastAsia" w:hAnsiTheme="minorEastAsia" w:eastAsiaTheme="minorEastAsia"/>
                      <w:b/>
                      <w:color w:val="auto"/>
                      <w:szCs w:val="21"/>
                    </w:rPr>
                  </w:pPr>
                  <w:r>
                    <w:rPr>
                      <w:rFonts w:hint="eastAsia" w:asciiTheme="minorEastAsia" w:hAnsiTheme="minorEastAsia" w:eastAsiaTheme="minorEastAsia"/>
                      <w:b w:val="0"/>
                      <w:bCs/>
                      <w:color w:val="auto"/>
                      <w:szCs w:val="21"/>
                      <w:highlight w:val="none"/>
                    </w:rPr>
                    <w:t>3.</w:t>
                  </w:r>
                  <w:r>
                    <w:rPr>
                      <w:rFonts w:hint="eastAsia" w:asciiTheme="minorEastAsia" w:hAnsiTheme="minorEastAsia" w:eastAsiaTheme="minorEastAsia"/>
                      <w:b w:val="0"/>
                      <w:bCs/>
                      <w:color w:val="auto"/>
                      <w:szCs w:val="21"/>
                      <w:highlight w:val="none"/>
                      <w:lang w:val="en-US" w:eastAsia="zh-CN"/>
                    </w:rPr>
                    <w:t>6</w:t>
                  </w:r>
                  <w:r>
                    <w:rPr>
                      <w:rFonts w:hint="eastAsia" w:ascii="宋体" w:hAnsi="宋体"/>
                      <w:b w:val="0"/>
                      <w:bCs/>
                      <w:color w:val="auto"/>
                      <w:szCs w:val="21"/>
                      <w:highlight w:val="none"/>
                    </w:rPr>
                    <w:t>中标人</w:t>
                  </w:r>
                  <w:r>
                    <w:rPr>
                      <w:rFonts w:hint="eastAsia" w:asciiTheme="minorEastAsia" w:hAnsiTheme="minorEastAsia" w:eastAsiaTheme="minorEastAsia"/>
                      <w:b w:val="0"/>
                      <w:bCs/>
                      <w:color w:val="auto"/>
                      <w:szCs w:val="21"/>
                      <w:highlight w:val="none"/>
                    </w:rPr>
                    <w:t>所交付产品、工程或服务不符合其投标承诺的，或在投标阶段为了中标而盲目虚假承诺、低价恶性竞争，在履约阶段则通过偷工减料、以次充好而获取利润的，将被没收履约保证金，并被履约评价工作实施机构评为履约等级“差”并按主管部门相关规定处理。</w:t>
                  </w:r>
                </w:p>
              </w:tc>
            </w:tr>
            <w:tr w14:paraId="27D8D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5BC8D222">
                  <w:pPr>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917" w:type="pct"/>
                  <w:vAlign w:val="center"/>
                </w:tcPr>
                <w:p w14:paraId="6F93975E">
                  <w:pPr>
                    <w:jc w:val="center"/>
                    <w:rPr>
                      <w:rFonts w:asciiTheme="minorEastAsia" w:hAnsiTheme="minorEastAsia" w:eastAsiaTheme="minorEastAsia"/>
                      <w:b/>
                      <w:szCs w:val="21"/>
                    </w:rPr>
                  </w:pPr>
                  <w:r>
                    <w:rPr>
                      <w:rFonts w:hint="eastAsia" w:asciiTheme="minorEastAsia" w:hAnsiTheme="minorEastAsia" w:eastAsiaTheme="minorEastAsia"/>
                      <w:b/>
                      <w:szCs w:val="21"/>
                    </w:rPr>
                    <w:t>关于付款</w:t>
                  </w:r>
                </w:p>
              </w:tc>
              <w:tc>
                <w:tcPr>
                  <w:tcW w:w="3377" w:type="pct"/>
                </w:tcPr>
                <w:p w14:paraId="6E68AAC9">
                  <w:pPr>
                    <w:rPr>
                      <w:rFonts w:hint="eastAsia" w:asciiTheme="minorEastAsia" w:hAnsiTheme="minorEastAsia" w:eastAsiaTheme="minorEastAsia"/>
                      <w:b w:val="0"/>
                      <w:bCs/>
                      <w:color w:val="auto"/>
                      <w:szCs w:val="21"/>
                    </w:rPr>
                  </w:pPr>
                  <w:r>
                    <w:rPr>
                      <w:rFonts w:hint="eastAsia" w:asciiTheme="minorEastAsia" w:hAnsiTheme="minorEastAsia" w:eastAsiaTheme="minorEastAsia"/>
                      <w:b w:val="0"/>
                      <w:bCs/>
                      <w:color w:val="auto"/>
                      <w:szCs w:val="21"/>
                      <w:lang w:val="en-US" w:eastAsia="zh-CN"/>
                    </w:rPr>
                    <w:t>4.1</w:t>
                  </w:r>
                  <w:r>
                    <w:rPr>
                      <w:rFonts w:hint="eastAsia" w:asciiTheme="minorEastAsia" w:hAnsiTheme="minorEastAsia" w:eastAsiaTheme="minorEastAsia"/>
                      <w:b w:val="0"/>
                      <w:bCs/>
                      <w:color w:val="auto"/>
                      <w:szCs w:val="21"/>
                    </w:rPr>
                    <w:t>全部合同货物到达交货地点，并安装调试且验收合格后，</w:t>
                  </w:r>
                  <w:r>
                    <w:rPr>
                      <w:rFonts w:hint="eastAsia" w:asciiTheme="minorEastAsia" w:hAnsiTheme="minorEastAsia" w:eastAsiaTheme="minorEastAsia"/>
                      <w:b w:val="0"/>
                      <w:bCs/>
                      <w:color w:val="auto"/>
                      <w:szCs w:val="21"/>
                      <w:lang w:eastAsia="zh-CN"/>
                    </w:rPr>
                    <w:t>提交验收资料</w:t>
                  </w:r>
                  <w:r>
                    <w:rPr>
                      <w:rFonts w:hint="eastAsia" w:asciiTheme="minorEastAsia" w:hAnsiTheme="minorEastAsia" w:eastAsiaTheme="minorEastAsia"/>
                      <w:b w:val="0"/>
                      <w:bCs/>
                      <w:color w:val="auto"/>
                      <w:szCs w:val="21"/>
                    </w:rPr>
                    <w:t>，采购人在收到</w:t>
                  </w:r>
                  <w:r>
                    <w:rPr>
                      <w:rFonts w:hint="eastAsia" w:asciiTheme="minorEastAsia" w:hAnsiTheme="minorEastAsia" w:eastAsiaTheme="minorEastAsia"/>
                      <w:b w:val="0"/>
                      <w:bCs/>
                      <w:color w:val="auto"/>
                      <w:szCs w:val="21"/>
                      <w:lang w:eastAsia="zh-CN"/>
                    </w:rPr>
                    <w:t>验收资料和</w:t>
                  </w:r>
                  <w:r>
                    <w:rPr>
                      <w:rFonts w:hint="eastAsia" w:asciiTheme="minorEastAsia" w:hAnsiTheme="minorEastAsia" w:eastAsiaTheme="minorEastAsia"/>
                      <w:b w:val="0"/>
                      <w:bCs/>
                      <w:color w:val="auto"/>
                      <w:szCs w:val="21"/>
                    </w:rPr>
                    <w:t xml:space="preserve">发票后向中标人支付合同总价的 </w:t>
                  </w:r>
                  <w:r>
                    <w:rPr>
                      <w:rFonts w:hint="eastAsia" w:asciiTheme="minorEastAsia" w:hAnsiTheme="minorEastAsia" w:eastAsiaTheme="minorEastAsia"/>
                      <w:b w:val="0"/>
                      <w:bCs/>
                      <w:color w:val="auto"/>
                      <w:szCs w:val="21"/>
                      <w:u w:val="single"/>
                    </w:rPr>
                    <w:t xml:space="preserve"> </w:t>
                  </w:r>
                  <w:r>
                    <w:rPr>
                      <w:rFonts w:hint="eastAsia" w:asciiTheme="minorEastAsia" w:hAnsiTheme="minorEastAsia" w:eastAsiaTheme="minorEastAsia"/>
                      <w:b w:val="0"/>
                      <w:bCs/>
                      <w:color w:val="auto"/>
                      <w:szCs w:val="21"/>
                      <w:u w:val="single"/>
                      <w:lang w:val="en-US" w:eastAsia="zh-CN"/>
                    </w:rPr>
                    <w:t>100</w:t>
                  </w:r>
                  <w:r>
                    <w:rPr>
                      <w:rFonts w:hint="eastAsia" w:asciiTheme="minorEastAsia" w:hAnsiTheme="minorEastAsia" w:eastAsiaTheme="minorEastAsia"/>
                      <w:b w:val="0"/>
                      <w:bCs/>
                      <w:color w:val="auto"/>
                      <w:szCs w:val="21"/>
                      <w:u w:val="single"/>
                    </w:rPr>
                    <w:t xml:space="preserve"> </w:t>
                  </w:r>
                  <w:r>
                    <w:rPr>
                      <w:rFonts w:hint="eastAsia" w:asciiTheme="minorEastAsia" w:hAnsiTheme="minorEastAsia" w:eastAsiaTheme="minorEastAsia"/>
                      <w:b w:val="0"/>
                      <w:bCs/>
                      <w:color w:val="auto"/>
                      <w:szCs w:val="21"/>
                    </w:rPr>
                    <w:t xml:space="preserve">  %。</w:t>
                  </w:r>
                </w:p>
                <w:p w14:paraId="1887CE8A">
                  <w:pPr>
                    <w:rPr>
                      <w:rFonts w:hint="eastAsia" w:asciiTheme="minorEastAsia" w:hAnsiTheme="minorEastAsia" w:eastAsiaTheme="minorEastAsia"/>
                      <w:b w:val="0"/>
                      <w:bCs/>
                      <w:color w:val="auto"/>
                      <w:szCs w:val="21"/>
                    </w:rPr>
                  </w:pPr>
                  <w:r>
                    <w:rPr>
                      <w:rFonts w:hint="eastAsia" w:asciiTheme="minorEastAsia" w:hAnsiTheme="minorEastAsia" w:eastAsiaTheme="minorEastAsia"/>
                      <w:b w:val="0"/>
                      <w:bCs/>
                      <w:color w:val="auto"/>
                      <w:szCs w:val="21"/>
                      <w:lang w:val="en-US" w:eastAsia="zh-CN"/>
                    </w:rPr>
                    <w:t>4.2</w:t>
                  </w:r>
                  <w:r>
                    <w:rPr>
                      <w:rFonts w:hint="eastAsia" w:asciiTheme="minorEastAsia" w:hAnsiTheme="minorEastAsia" w:eastAsiaTheme="minorEastAsia"/>
                      <w:b w:val="0"/>
                      <w:bCs/>
                      <w:color w:val="auto"/>
                      <w:szCs w:val="21"/>
                    </w:rPr>
                    <w:t>每次</w:t>
                  </w:r>
                  <w:r>
                    <w:rPr>
                      <w:rFonts w:hint="eastAsia" w:asciiTheme="minorEastAsia" w:hAnsiTheme="minorEastAsia" w:eastAsiaTheme="minorEastAsia"/>
                      <w:b w:val="0"/>
                      <w:bCs/>
                      <w:color w:val="auto"/>
                      <w:szCs w:val="21"/>
                      <w:lang w:eastAsia="zh-TW"/>
                    </w:rPr>
                    <w:t>按合同支付款项前，</w:t>
                  </w:r>
                  <w:r>
                    <w:rPr>
                      <w:rFonts w:hint="eastAsia" w:asciiTheme="minorEastAsia" w:hAnsiTheme="minorEastAsia" w:eastAsiaTheme="minorEastAsia"/>
                      <w:b w:val="0"/>
                      <w:bCs/>
                      <w:color w:val="auto"/>
                      <w:szCs w:val="21"/>
                    </w:rPr>
                    <w:t>中标人应</w:t>
                  </w:r>
                  <w:r>
                    <w:rPr>
                      <w:rFonts w:hint="eastAsia" w:asciiTheme="minorEastAsia" w:hAnsiTheme="minorEastAsia" w:eastAsiaTheme="minorEastAsia"/>
                      <w:b w:val="0"/>
                      <w:bCs/>
                      <w:color w:val="auto"/>
                      <w:szCs w:val="21"/>
                      <w:lang w:eastAsia="zh-TW"/>
                    </w:rPr>
                    <w:t>向采购人提供与支付金额相符的有效发票，且收款方、出具发票方、合同乙方均必须与</w:t>
                  </w:r>
                  <w:r>
                    <w:rPr>
                      <w:rFonts w:hint="eastAsia" w:asciiTheme="minorEastAsia" w:hAnsiTheme="minorEastAsia" w:eastAsiaTheme="minorEastAsia"/>
                      <w:b w:val="0"/>
                      <w:bCs/>
                      <w:color w:val="auto"/>
                      <w:szCs w:val="21"/>
                    </w:rPr>
                    <w:t>中标人</w:t>
                  </w:r>
                  <w:r>
                    <w:rPr>
                      <w:rFonts w:hint="eastAsia" w:asciiTheme="minorEastAsia" w:hAnsiTheme="minorEastAsia" w:eastAsiaTheme="minorEastAsia"/>
                      <w:b w:val="0"/>
                      <w:bCs/>
                      <w:color w:val="auto"/>
                      <w:szCs w:val="21"/>
                      <w:lang w:eastAsia="zh-TW"/>
                    </w:rPr>
                    <w:t>名称一致；</w:t>
                  </w:r>
                </w:p>
                <w:p w14:paraId="3495BFCC">
                  <w:pPr>
                    <w:rPr>
                      <w:rFonts w:asciiTheme="minorEastAsia" w:hAnsiTheme="minorEastAsia" w:eastAsiaTheme="minorEastAsia"/>
                      <w:b/>
                      <w:szCs w:val="21"/>
                    </w:rPr>
                  </w:pPr>
                  <w:r>
                    <w:rPr>
                      <w:rFonts w:hint="eastAsia" w:asciiTheme="minorEastAsia" w:hAnsiTheme="minorEastAsia" w:eastAsiaTheme="minorEastAsia"/>
                      <w:b w:val="0"/>
                      <w:bCs/>
                      <w:color w:val="auto"/>
                      <w:szCs w:val="21"/>
                      <w:lang w:val="en-US" w:eastAsia="zh-CN"/>
                    </w:rPr>
                    <w:t>4.3</w:t>
                  </w:r>
                  <w:r>
                    <w:rPr>
                      <w:rFonts w:hint="eastAsia" w:asciiTheme="minorEastAsia" w:hAnsiTheme="minorEastAsia" w:eastAsiaTheme="minorEastAsia"/>
                      <w:b w:val="0"/>
                      <w:bCs/>
                      <w:color w:val="auto"/>
                      <w:szCs w:val="21"/>
                    </w:rPr>
                    <w:t>违约责任：</w:t>
                  </w:r>
                  <w:r>
                    <w:rPr>
                      <w:rFonts w:hint="eastAsia" w:asciiTheme="minorEastAsia" w:hAnsiTheme="minorEastAsia" w:eastAsiaTheme="minorEastAsia"/>
                      <w:b w:val="0"/>
                      <w:bCs/>
                      <w:color w:val="auto"/>
                      <w:szCs w:val="21"/>
                      <w:lang w:eastAsia="zh-TW"/>
                    </w:rPr>
                    <w:t>采购人逾期</w:t>
                  </w:r>
                  <w:r>
                    <w:rPr>
                      <w:rFonts w:hint="eastAsia" w:asciiTheme="minorEastAsia" w:hAnsiTheme="minorEastAsia" w:eastAsiaTheme="minorEastAsia"/>
                      <w:b w:val="0"/>
                      <w:bCs/>
                      <w:color w:val="auto"/>
                      <w:szCs w:val="21"/>
                    </w:rPr>
                    <w:t>支付合同款项</w:t>
                  </w:r>
                  <w:r>
                    <w:rPr>
                      <w:rFonts w:hint="eastAsia" w:asciiTheme="minorEastAsia" w:hAnsiTheme="minorEastAsia" w:eastAsiaTheme="minorEastAsia"/>
                      <w:b w:val="0"/>
                      <w:bCs/>
                      <w:color w:val="auto"/>
                      <w:szCs w:val="21"/>
                      <w:lang w:eastAsia="zh-TW"/>
                    </w:rPr>
                    <w:t>的，除应当</w:t>
                  </w:r>
                  <w:r>
                    <w:rPr>
                      <w:rFonts w:hint="eastAsia" w:asciiTheme="minorEastAsia" w:hAnsiTheme="minorEastAsia" w:eastAsiaTheme="minorEastAsia"/>
                      <w:b w:val="0"/>
                      <w:bCs/>
                      <w:color w:val="auto"/>
                      <w:szCs w:val="21"/>
                    </w:rPr>
                    <w:t>支付合同款项</w:t>
                  </w:r>
                  <w:r>
                    <w:rPr>
                      <w:rFonts w:hint="eastAsia" w:asciiTheme="minorEastAsia" w:hAnsiTheme="minorEastAsia" w:eastAsiaTheme="minorEastAsia"/>
                      <w:b w:val="0"/>
                      <w:bCs/>
                      <w:color w:val="auto"/>
                      <w:szCs w:val="21"/>
                      <w:lang w:eastAsia="zh-TW"/>
                    </w:rPr>
                    <w:t>外，还应当每日按合同总价的</w:t>
                  </w:r>
                  <w:r>
                    <w:rPr>
                      <w:rFonts w:hint="eastAsia" w:asciiTheme="minorEastAsia" w:hAnsiTheme="minorEastAsia" w:eastAsiaTheme="minorEastAsia"/>
                      <w:b w:val="0"/>
                      <w:bCs/>
                      <w:color w:val="auto"/>
                      <w:szCs w:val="21"/>
                      <w:lang w:val="en-US" w:eastAsia="zh-CN"/>
                    </w:rPr>
                    <w:t>1</w:t>
                  </w:r>
                  <w:r>
                    <w:rPr>
                      <w:rFonts w:hint="eastAsia" w:asciiTheme="minorEastAsia" w:hAnsiTheme="minorEastAsia" w:eastAsiaTheme="minorEastAsia"/>
                      <w:b w:val="0"/>
                      <w:bCs/>
                      <w:color w:val="auto"/>
                      <w:szCs w:val="21"/>
                      <w:lang w:eastAsia="zh-TW"/>
                    </w:rPr>
                    <w:t>‰向</w:t>
                  </w:r>
                  <w:r>
                    <w:rPr>
                      <w:rFonts w:hint="eastAsia" w:asciiTheme="minorEastAsia" w:hAnsiTheme="minorEastAsia" w:eastAsiaTheme="minorEastAsia"/>
                      <w:b w:val="0"/>
                      <w:bCs/>
                      <w:color w:val="auto"/>
                      <w:szCs w:val="21"/>
                    </w:rPr>
                    <w:t>中标人</w:t>
                  </w:r>
                  <w:r>
                    <w:rPr>
                      <w:rFonts w:hint="eastAsia" w:asciiTheme="minorEastAsia" w:hAnsiTheme="minorEastAsia" w:eastAsiaTheme="minorEastAsia"/>
                      <w:b w:val="0"/>
                      <w:bCs/>
                      <w:color w:val="auto"/>
                      <w:szCs w:val="21"/>
                      <w:lang w:eastAsia="zh-TW"/>
                    </w:rPr>
                    <w:t>偿付违约金，但因</w:t>
                  </w:r>
                  <w:r>
                    <w:rPr>
                      <w:rFonts w:hint="eastAsia" w:asciiTheme="minorEastAsia" w:hAnsiTheme="minorEastAsia" w:eastAsiaTheme="minorEastAsia"/>
                      <w:b w:val="0"/>
                      <w:bCs/>
                      <w:color w:val="auto"/>
                      <w:szCs w:val="21"/>
                    </w:rPr>
                    <w:t>中标人</w:t>
                  </w:r>
                  <w:r>
                    <w:rPr>
                      <w:rFonts w:hint="eastAsia" w:asciiTheme="minorEastAsia" w:hAnsiTheme="minorEastAsia" w:eastAsiaTheme="minorEastAsia"/>
                      <w:b w:val="0"/>
                      <w:bCs/>
                      <w:color w:val="auto"/>
                      <w:szCs w:val="21"/>
                      <w:lang w:eastAsia="zh-TW"/>
                    </w:rPr>
                    <w:t>自身原因导致无法及时</w:t>
                  </w:r>
                  <w:r>
                    <w:rPr>
                      <w:rFonts w:hint="eastAsia" w:asciiTheme="minorEastAsia" w:hAnsiTheme="minorEastAsia" w:eastAsiaTheme="minorEastAsia"/>
                      <w:b w:val="0"/>
                      <w:bCs/>
                      <w:color w:val="auto"/>
                      <w:szCs w:val="21"/>
                    </w:rPr>
                    <w:t>支付</w:t>
                  </w:r>
                  <w:r>
                    <w:rPr>
                      <w:rFonts w:hint="eastAsia" w:asciiTheme="minorEastAsia" w:hAnsiTheme="minorEastAsia" w:eastAsiaTheme="minorEastAsia"/>
                      <w:b w:val="0"/>
                      <w:bCs/>
                      <w:color w:val="auto"/>
                      <w:szCs w:val="21"/>
                      <w:lang w:eastAsia="zh-TW"/>
                    </w:rPr>
                    <w:t>的除外</w:t>
                  </w:r>
                  <w:r>
                    <w:rPr>
                      <w:rFonts w:hint="eastAsia" w:asciiTheme="minorEastAsia" w:hAnsiTheme="minorEastAsia" w:eastAsiaTheme="minorEastAsia"/>
                      <w:b w:val="0"/>
                      <w:bCs/>
                      <w:color w:val="auto"/>
                      <w:szCs w:val="21"/>
                    </w:rPr>
                    <w:t>。</w:t>
                  </w:r>
                </w:p>
              </w:tc>
            </w:tr>
            <w:tr w14:paraId="0C149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4819CBFC">
                  <w:pPr>
                    <w:jc w:val="center"/>
                    <w:rPr>
                      <w:rFonts w:asciiTheme="minorEastAsia" w:hAnsiTheme="minorEastAsia" w:eastAsiaTheme="minorEastAsia"/>
                      <w:b w:val="0"/>
                      <w:bCs w:val="0"/>
                      <w:color w:val="auto"/>
                      <w:szCs w:val="21"/>
                      <w:highlight w:val="none"/>
                    </w:rPr>
                  </w:pPr>
                  <w:r>
                    <w:rPr>
                      <w:rFonts w:hint="eastAsia" w:asciiTheme="minorEastAsia" w:hAnsiTheme="minorEastAsia" w:eastAsiaTheme="minorEastAsia"/>
                      <w:b w:val="0"/>
                      <w:bCs w:val="0"/>
                      <w:color w:val="auto"/>
                      <w:szCs w:val="21"/>
                      <w:highlight w:val="none"/>
                    </w:rPr>
                    <w:t>★5</w:t>
                  </w:r>
                </w:p>
              </w:tc>
              <w:tc>
                <w:tcPr>
                  <w:tcW w:w="917" w:type="pct"/>
                  <w:vAlign w:val="center"/>
                </w:tcPr>
                <w:p w14:paraId="50B79DBA">
                  <w:pPr>
                    <w:jc w:val="center"/>
                    <w:rPr>
                      <w:rFonts w:asciiTheme="minorEastAsia" w:hAnsiTheme="minorEastAsia" w:eastAsiaTheme="minorEastAsia"/>
                      <w:b w:val="0"/>
                      <w:bCs w:val="0"/>
                      <w:color w:val="auto"/>
                      <w:szCs w:val="21"/>
                      <w:highlight w:val="none"/>
                    </w:rPr>
                  </w:pPr>
                  <w:r>
                    <w:rPr>
                      <w:rFonts w:hint="eastAsia" w:asciiTheme="minorEastAsia" w:hAnsiTheme="minorEastAsia" w:eastAsiaTheme="minorEastAsia"/>
                      <w:b w:val="0"/>
                      <w:bCs w:val="0"/>
                      <w:color w:val="auto"/>
                      <w:szCs w:val="21"/>
                      <w:highlight w:val="none"/>
                    </w:rPr>
                    <w:t>项目（产品）要求</w:t>
                  </w:r>
                </w:p>
              </w:tc>
              <w:tc>
                <w:tcPr>
                  <w:tcW w:w="3377" w:type="pct"/>
                </w:tcPr>
                <w:p w14:paraId="67522DBC">
                  <w:pPr>
                    <w:rPr>
                      <w:rFonts w:asciiTheme="minorEastAsia" w:hAnsiTheme="minorEastAsia" w:eastAsiaTheme="minorEastAsia"/>
                      <w:b w:val="0"/>
                      <w:bCs w:val="0"/>
                      <w:color w:val="auto"/>
                      <w:szCs w:val="21"/>
                      <w:highlight w:val="none"/>
                    </w:rPr>
                  </w:pPr>
                  <w:r>
                    <w:rPr>
                      <w:rFonts w:hint="eastAsia" w:cs="宋体" w:asciiTheme="minorEastAsia" w:hAnsiTheme="minorEastAsia" w:eastAsiaTheme="minorEastAsia"/>
                      <w:b w:val="0"/>
                      <w:bCs w:val="0"/>
                      <w:color w:val="auto"/>
                      <w:szCs w:val="21"/>
                      <w:highlight w:val="none"/>
                    </w:rPr>
                    <w:t>★</w:t>
                  </w:r>
                  <w:r>
                    <w:rPr>
                      <w:rFonts w:hint="eastAsia" w:asciiTheme="minorEastAsia" w:hAnsiTheme="minorEastAsia" w:eastAsiaTheme="minorEastAsia"/>
                      <w:b w:val="0"/>
                      <w:bCs w:val="0"/>
                      <w:color w:val="auto"/>
                      <w:szCs w:val="21"/>
                      <w:highlight w:val="none"/>
                    </w:rPr>
                    <w:t>5.1若所投产品为进口，则投标人必须提供由设备制造商或授权的中国总代理签署的合法有效的保修、维修承诺函（免费保修期满足招标文件要求）扫描件，原件备查；若所投产品为国产产品，则无需提供。</w:t>
                  </w:r>
                </w:p>
              </w:tc>
            </w:tr>
            <w:tr w14:paraId="4DF73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401B1556">
                  <w:pPr>
                    <w:jc w:val="center"/>
                    <w:rPr>
                      <w:rFonts w:hint="eastAsia" w:asciiTheme="minorEastAsia" w:hAnsiTheme="minorEastAsia" w:eastAsiaTheme="minorEastAsia"/>
                      <w:b/>
                      <w:szCs w:val="21"/>
                      <w:lang w:val="en-US" w:eastAsia="zh-CN"/>
                    </w:rPr>
                  </w:pPr>
                  <w:r>
                    <w:rPr>
                      <w:rFonts w:hint="eastAsia" w:asciiTheme="minorEastAsia" w:hAnsiTheme="minorEastAsia" w:eastAsiaTheme="minorEastAsia" w:cstheme="minorEastAsia"/>
                      <w:b/>
                      <w:bCs/>
                      <w:color w:val="auto"/>
                      <w:sz w:val="21"/>
                      <w:szCs w:val="21"/>
                    </w:rPr>
                    <w:t>★</w:t>
                  </w:r>
                  <w:r>
                    <w:rPr>
                      <w:rFonts w:hint="eastAsia" w:asciiTheme="minorEastAsia" w:hAnsiTheme="minorEastAsia" w:eastAsiaTheme="minorEastAsia" w:cstheme="minorEastAsia"/>
                      <w:b/>
                      <w:bCs/>
                      <w:color w:val="auto"/>
                      <w:sz w:val="21"/>
                      <w:szCs w:val="21"/>
                      <w:lang w:val="en-US" w:eastAsia="zh-CN"/>
                    </w:rPr>
                    <w:t>6</w:t>
                  </w:r>
                </w:p>
              </w:tc>
              <w:tc>
                <w:tcPr>
                  <w:tcW w:w="917" w:type="pct"/>
                  <w:vAlign w:val="center"/>
                </w:tcPr>
                <w:p w14:paraId="57DA7316">
                  <w:pPr>
                    <w:numPr>
                      <w:ilvl w:val="0"/>
                      <w:numId w:val="0"/>
                    </w:numPr>
                    <w:tabs>
                      <w:tab w:val="left" w:pos="540"/>
                    </w:tabs>
                    <w:adjustRightInd w:val="0"/>
                    <w:snapToGrid w:val="0"/>
                    <w:spacing w:line="360" w:lineRule="auto"/>
                    <w:ind w:leftChars="0"/>
                    <w:jc w:val="center"/>
                    <w:rPr>
                      <w:rFonts w:asciiTheme="minorEastAsia" w:hAnsiTheme="minorEastAsia" w:eastAsiaTheme="minorEastAsia"/>
                      <w:b/>
                      <w:szCs w:val="21"/>
                    </w:rPr>
                  </w:pPr>
                  <w:r>
                    <w:rPr>
                      <w:rFonts w:hint="eastAsia" w:asciiTheme="minorEastAsia" w:hAnsiTheme="minorEastAsia" w:eastAsiaTheme="minorEastAsia" w:cstheme="minorEastAsia"/>
                      <w:b/>
                      <w:bCs/>
                      <w:color w:val="auto"/>
                      <w:sz w:val="21"/>
                      <w:szCs w:val="21"/>
                    </w:rPr>
                    <w:t>知识产权合规承诺</w:t>
                  </w:r>
                </w:p>
              </w:tc>
              <w:tc>
                <w:tcPr>
                  <w:tcW w:w="3377" w:type="pct"/>
                </w:tcPr>
                <w:p w14:paraId="55F86A8C">
                  <w:pPr>
                    <w:rPr>
                      <w:rFonts w:hint="eastAsia" w:ascii="宋体" w:hAnsi="宋体" w:eastAsia="宋体" w:cs="宋体"/>
                      <w:color w:val="auto"/>
                      <w:kern w:val="0"/>
                      <w:sz w:val="21"/>
                      <w:szCs w:val="21"/>
                      <w:lang w:val="en-US"/>
                    </w:rPr>
                  </w:pPr>
                  <w:r>
                    <w:rPr>
                      <w:rFonts w:hint="eastAsia" w:ascii="宋体" w:hAnsi="宋体" w:cs="宋体"/>
                      <w:color w:val="auto"/>
                      <w:kern w:val="0"/>
                      <w:sz w:val="21"/>
                      <w:szCs w:val="21"/>
                      <w:lang w:val="en-US" w:eastAsia="zh-CN" w:bidi="ar"/>
                    </w:rPr>
                    <w:t>6.1</w:t>
                  </w:r>
                  <w:r>
                    <w:rPr>
                      <w:rFonts w:hint="eastAsia" w:ascii="宋体" w:hAnsi="宋体" w:cs="宋体"/>
                      <w:bCs/>
                      <w:color w:val="000000"/>
                      <w:szCs w:val="21"/>
                      <w:highlight w:val="none"/>
                    </w:rPr>
                    <w:t>投标人</w:t>
                  </w:r>
                  <w:r>
                    <w:rPr>
                      <w:rFonts w:hint="eastAsia" w:ascii="宋体" w:hAnsi="宋体" w:eastAsia="宋体" w:cs="宋体"/>
                      <w:color w:val="auto"/>
                      <w:kern w:val="0"/>
                      <w:sz w:val="21"/>
                      <w:szCs w:val="21"/>
                      <w:lang w:val="en-US" w:eastAsia="zh-CN" w:bidi="ar"/>
                    </w:rPr>
                    <w:t>在履行合同的过程中不得侵犯他人知识产权，不得提供虚假知识产权申请材料或者违背知识产权合规性承诺，否则依法追究其违约等责任，并将其失信违法信息依法纳入公共信用信息系统。</w:t>
                  </w:r>
                </w:p>
                <w:p w14:paraId="4556BA3B">
                  <w:pPr>
                    <w:rPr>
                      <w:rFonts w:hint="eastAsia" w:ascii="宋体" w:hAnsi="宋体" w:eastAsia="宋体" w:cs="宋体"/>
                      <w:color w:val="auto"/>
                      <w:kern w:val="0"/>
                      <w:sz w:val="21"/>
                      <w:szCs w:val="21"/>
                      <w:lang w:val="en-US"/>
                    </w:rPr>
                  </w:pPr>
                  <w:r>
                    <w:rPr>
                      <w:rFonts w:hint="eastAsia" w:ascii="宋体" w:hAnsi="宋体" w:cs="宋体"/>
                      <w:color w:val="auto"/>
                      <w:kern w:val="0"/>
                      <w:sz w:val="21"/>
                      <w:szCs w:val="21"/>
                      <w:lang w:val="en-US" w:eastAsia="zh-CN" w:bidi="ar"/>
                    </w:rPr>
                    <w:t>6.2</w:t>
                  </w:r>
                  <w:r>
                    <w:rPr>
                      <w:rFonts w:hint="eastAsia" w:ascii="宋体" w:hAnsi="宋体" w:cs="宋体"/>
                      <w:bCs/>
                      <w:color w:val="000000"/>
                      <w:szCs w:val="21"/>
                      <w:highlight w:val="none"/>
                    </w:rPr>
                    <w:t>投标人</w:t>
                  </w:r>
                  <w:r>
                    <w:rPr>
                      <w:rFonts w:hint="eastAsia" w:ascii="宋体" w:hAnsi="宋体" w:eastAsia="宋体" w:cs="宋体"/>
                      <w:color w:val="auto"/>
                      <w:kern w:val="0"/>
                      <w:sz w:val="21"/>
                      <w:szCs w:val="21"/>
                      <w:lang w:val="en-US" w:eastAsia="zh-CN" w:bidi="ar"/>
                    </w:rPr>
                    <w:t>应保证采购人在使用该货物或其任何一部分时免受第三方提出侵犯其专利、商标、版权等知识产权或商品名称及其他权利的起诉及索赔。若采购人因此被第三方起诉或以其它方式追究责任，</w:t>
                  </w:r>
                  <w:r>
                    <w:rPr>
                      <w:rFonts w:hint="eastAsia" w:ascii="宋体" w:hAnsi="宋体" w:cs="宋体"/>
                      <w:bCs/>
                      <w:color w:val="000000"/>
                      <w:szCs w:val="21"/>
                      <w:highlight w:val="none"/>
                    </w:rPr>
                    <w:t>投标人</w:t>
                  </w:r>
                  <w:r>
                    <w:rPr>
                      <w:rFonts w:hint="eastAsia" w:ascii="宋体" w:hAnsi="宋体" w:eastAsia="宋体" w:cs="宋体"/>
                      <w:color w:val="auto"/>
                      <w:kern w:val="0"/>
                      <w:sz w:val="21"/>
                      <w:szCs w:val="21"/>
                      <w:lang w:val="en-US" w:eastAsia="zh-CN" w:bidi="ar"/>
                    </w:rPr>
                    <w:t>应赔偿因采购人被第三方索赔所引起的一切损失，包括但不限于采购人所支付的侵权损害赔偿费、律师费、诉讼费、仲裁费、办案差旅费等因应诉、沟通协调所发的一切费用。</w:t>
                  </w:r>
                </w:p>
                <w:p w14:paraId="345A7102">
                  <w:pPr>
                    <w:numPr>
                      <w:ilvl w:val="0"/>
                      <w:numId w:val="0"/>
                    </w:numPr>
                    <w:tabs>
                      <w:tab w:val="left" w:pos="540"/>
                    </w:tabs>
                    <w:adjustRightInd w:val="0"/>
                    <w:snapToGrid w:val="0"/>
                    <w:spacing w:line="360" w:lineRule="auto"/>
                    <w:ind w:leftChars="0"/>
                    <w:rPr>
                      <w:rFonts w:asciiTheme="minorEastAsia" w:hAnsiTheme="minorEastAsia" w:eastAsiaTheme="minorEastAsia"/>
                      <w:b/>
                      <w:szCs w:val="21"/>
                    </w:rPr>
                  </w:pPr>
                  <w:r>
                    <w:rPr>
                      <w:rFonts w:hint="eastAsia" w:ascii="宋体" w:hAnsi="宋体" w:cs="宋体"/>
                      <w:bCs/>
                      <w:color w:val="auto"/>
                      <w:kern w:val="0"/>
                      <w:sz w:val="21"/>
                      <w:szCs w:val="21"/>
                      <w:lang w:val="en-US" w:eastAsia="zh-CN" w:bidi="ar"/>
                    </w:rPr>
                    <w:t>6.3</w:t>
                  </w:r>
                  <w:r>
                    <w:rPr>
                      <w:rFonts w:hint="eastAsia" w:ascii="宋体" w:hAnsi="宋体" w:cs="宋体"/>
                      <w:bCs/>
                      <w:color w:val="000000"/>
                      <w:szCs w:val="21"/>
                      <w:highlight w:val="none"/>
                    </w:rPr>
                    <w:t>投标人</w:t>
                  </w:r>
                  <w:r>
                    <w:rPr>
                      <w:rFonts w:hint="eastAsia" w:ascii="宋体" w:hAnsi="宋体" w:eastAsia="宋体" w:cs="宋体"/>
                      <w:bCs/>
                      <w:color w:val="auto"/>
                      <w:kern w:val="0"/>
                      <w:sz w:val="21"/>
                      <w:szCs w:val="21"/>
                      <w:lang w:val="en-US" w:eastAsia="zh-CN" w:bidi="ar"/>
                    </w:rPr>
                    <w:t>实施本项目所形成成果的知识产权归采购人所有，未经采购人许可，</w:t>
                  </w:r>
                  <w:r>
                    <w:rPr>
                      <w:rFonts w:hint="eastAsia" w:ascii="宋体" w:hAnsi="宋体" w:cs="宋体"/>
                      <w:bCs/>
                      <w:color w:val="000000"/>
                      <w:szCs w:val="21"/>
                      <w:highlight w:val="none"/>
                    </w:rPr>
                    <w:t>投标人</w:t>
                  </w:r>
                  <w:r>
                    <w:rPr>
                      <w:rFonts w:hint="eastAsia" w:ascii="宋体" w:hAnsi="宋体" w:eastAsia="宋体" w:cs="宋体"/>
                      <w:bCs/>
                      <w:color w:val="auto"/>
                      <w:kern w:val="0"/>
                      <w:sz w:val="21"/>
                      <w:szCs w:val="21"/>
                      <w:lang w:val="en-US" w:eastAsia="zh-CN" w:bidi="ar"/>
                    </w:rPr>
                    <w:t>不得随意使用。</w:t>
                  </w:r>
                </w:p>
              </w:tc>
            </w:tr>
            <w:tr w14:paraId="01A35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2DEB2A60">
                  <w:pPr>
                    <w:jc w:val="center"/>
                    <w:rPr>
                      <w:rFonts w:hint="eastAsia" w:asciiTheme="minorEastAsia" w:hAnsiTheme="minorEastAsia" w:eastAsiaTheme="minorEastAsia"/>
                      <w:b/>
                      <w:szCs w:val="21"/>
                      <w:lang w:eastAsia="zh-CN"/>
                    </w:rPr>
                  </w:pPr>
                  <w:r>
                    <w:rPr>
                      <w:rFonts w:hint="eastAsia" w:asciiTheme="minorEastAsia" w:hAnsiTheme="minorEastAsia" w:eastAsiaTheme="minorEastAsia"/>
                      <w:b/>
                      <w:szCs w:val="21"/>
                      <w:lang w:val="en-US" w:eastAsia="zh-CN"/>
                    </w:rPr>
                    <w:t>7</w:t>
                  </w:r>
                </w:p>
              </w:tc>
              <w:tc>
                <w:tcPr>
                  <w:tcW w:w="917" w:type="pct"/>
                  <w:vAlign w:val="center"/>
                </w:tcPr>
                <w:p w14:paraId="5797C8A6">
                  <w:pPr>
                    <w:jc w:val="center"/>
                    <w:rPr>
                      <w:rFonts w:asciiTheme="minorEastAsia" w:hAnsiTheme="minorEastAsia" w:eastAsiaTheme="minorEastAsia"/>
                      <w:b/>
                      <w:szCs w:val="21"/>
                    </w:rPr>
                  </w:pPr>
                  <w:r>
                    <w:rPr>
                      <w:rFonts w:hint="eastAsia" w:asciiTheme="minorEastAsia" w:hAnsiTheme="minorEastAsia" w:eastAsiaTheme="minorEastAsia"/>
                      <w:b/>
                      <w:szCs w:val="21"/>
                    </w:rPr>
                    <w:t>履约保证金</w:t>
                  </w:r>
                </w:p>
              </w:tc>
              <w:tc>
                <w:tcPr>
                  <w:tcW w:w="3377" w:type="pct"/>
                </w:tcPr>
                <w:p w14:paraId="19B2F994">
                  <w:pPr>
                    <w:numPr>
                      <w:ilvl w:val="0"/>
                      <w:numId w:val="1"/>
                    </w:numPr>
                    <w:adjustRightInd w:val="0"/>
                    <w:snapToGrid w:val="0"/>
                    <w:spacing w:line="360" w:lineRule="auto"/>
                    <w:rPr>
                      <w:rFonts w:hint="eastAsia" w:ascii="宋体" w:hAnsi="宋体"/>
                      <w:szCs w:val="21"/>
                      <w:highlight w:val="none"/>
                    </w:rPr>
                  </w:pPr>
                  <w:r>
                    <w:rPr>
                      <w:rFonts w:hint="eastAsia" w:ascii="宋体" w:hAnsi="宋体"/>
                      <w:szCs w:val="21"/>
                      <w:highlight w:val="none"/>
                    </w:rPr>
                    <w:t>提交说明</w:t>
                  </w:r>
                </w:p>
                <w:p w14:paraId="6B8FC8D9">
                  <w:pPr>
                    <w:numPr>
                      <w:ilvl w:val="0"/>
                      <w:numId w:val="2"/>
                    </w:numPr>
                    <w:tabs>
                      <w:tab w:val="clear" w:pos="840"/>
                    </w:tabs>
                    <w:adjustRightInd w:val="0"/>
                    <w:snapToGrid w:val="0"/>
                    <w:spacing w:line="360" w:lineRule="auto"/>
                    <w:rPr>
                      <w:rFonts w:hint="eastAsia" w:ascii="宋体" w:hAnsi="宋体"/>
                      <w:szCs w:val="21"/>
                      <w:highlight w:val="none"/>
                    </w:rPr>
                  </w:pPr>
                  <w:r>
                    <w:rPr>
                      <w:rFonts w:hint="eastAsia" w:ascii="宋体" w:hAnsi="宋体"/>
                      <w:szCs w:val="21"/>
                      <w:highlight w:val="none"/>
                    </w:rPr>
                    <w:t>时间：</w:t>
                  </w:r>
                  <w:r>
                    <w:rPr>
                      <w:rFonts w:hint="eastAsia" w:ascii="宋体" w:hAnsi="宋体"/>
                      <w:szCs w:val="21"/>
                      <w:highlight w:val="none"/>
                      <w:lang w:eastAsia="zh-CN"/>
                    </w:rPr>
                    <w:t>收到中标通知书后</w:t>
                  </w:r>
                  <w:r>
                    <w:rPr>
                      <w:rFonts w:hint="eastAsia" w:ascii="宋体" w:hAnsi="宋体"/>
                      <w:szCs w:val="21"/>
                      <w:highlight w:val="none"/>
                    </w:rPr>
                    <w:t>；</w:t>
                  </w:r>
                </w:p>
                <w:p w14:paraId="2A2990C5">
                  <w:pPr>
                    <w:numPr>
                      <w:ilvl w:val="0"/>
                      <w:numId w:val="2"/>
                    </w:numPr>
                    <w:tabs>
                      <w:tab w:val="clear" w:pos="840"/>
                    </w:tabs>
                    <w:adjustRightInd w:val="0"/>
                    <w:snapToGrid w:val="0"/>
                    <w:spacing w:line="360" w:lineRule="auto"/>
                    <w:rPr>
                      <w:rFonts w:hint="eastAsia" w:ascii="宋体" w:hAnsi="宋体"/>
                      <w:szCs w:val="21"/>
                      <w:highlight w:val="none"/>
                    </w:rPr>
                  </w:pPr>
                  <w:r>
                    <w:rPr>
                      <w:rFonts w:hint="eastAsia" w:ascii="宋体" w:hAnsi="宋体"/>
                      <w:szCs w:val="21"/>
                      <w:highlight w:val="none"/>
                    </w:rPr>
                    <w:t>金额：合同（成交）金额的</w:t>
                  </w:r>
                  <w:r>
                    <w:rPr>
                      <w:rFonts w:hint="eastAsia" w:ascii="宋体" w:hAnsi="宋体"/>
                      <w:szCs w:val="21"/>
                      <w:highlight w:val="none"/>
                      <w:u w:val="single"/>
                      <w:lang w:val="en-US" w:eastAsia="zh-CN"/>
                    </w:rPr>
                    <w:t xml:space="preserve">   5   </w:t>
                  </w:r>
                  <w:r>
                    <w:rPr>
                      <w:rFonts w:hint="eastAsia" w:ascii="宋体" w:hAnsi="宋体"/>
                      <w:szCs w:val="21"/>
                      <w:highlight w:val="none"/>
                    </w:rPr>
                    <w:t>%；</w:t>
                  </w:r>
                </w:p>
                <w:p w14:paraId="3733A2E3">
                  <w:pPr>
                    <w:numPr>
                      <w:ilvl w:val="0"/>
                      <w:numId w:val="2"/>
                    </w:numPr>
                    <w:tabs>
                      <w:tab w:val="clear" w:pos="840"/>
                    </w:tabs>
                    <w:adjustRightInd w:val="0"/>
                    <w:snapToGrid w:val="0"/>
                    <w:spacing w:line="360" w:lineRule="auto"/>
                    <w:rPr>
                      <w:rFonts w:hint="eastAsia" w:ascii="宋体" w:hAnsi="宋体"/>
                      <w:color w:val="auto"/>
                      <w:szCs w:val="21"/>
                      <w:highlight w:val="none"/>
                    </w:rPr>
                  </w:pPr>
                  <w:r>
                    <w:rPr>
                      <w:rFonts w:hint="eastAsia" w:ascii="宋体" w:hAnsi="宋体"/>
                      <w:color w:val="auto"/>
                      <w:szCs w:val="21"/>
                      <w:highlight w:val="none"/>
                    </w:rPr>
                    <w:t>方式：中标人自主选择；</w:t>
                  </w:r>
                </w:p>
                <w:p w14:paraId="71E52958">
                  <w:pPr>
                    <w:numPr>
                      <w:ilvl w:val="0"/>
                      <w:numId w:val="1"/>
                    </w:numPr>
                    <w:adjustRightInd w:val="0"/>
                    <w:snapToGrid w:val="0"/>
                    <w:spacing w:line="360" w:lineRule="auto"/>
                    <w:rPr>
                      <w:rFonts w:hint="eastAsia" w:ascii="宋体" w:hAnsi="宋体"/>
                      <w:szCs w:val="21"/>
                    </w:rPr>
                  </w:pPr>
                  <w:r>
                    <w:rPr>
                      <w:rFonts w:hint="eastAsia" w:ascii="宋体" w:hAnsi="宋体"/>
                      <w:szCs w:val="21"/>
                    </w:rPr>
                    <w:t>退还说明：</w:t>
                  </w:r>
                </w:p>
                <w:p w14:paraId="3AA128A0">
                  <w:pPr>
                    <w:numPr>
                      <w:ilvl w:val="0"/>
                      <w:numId w:val="3"/>
                    </w:numPr>
                    <w:tabs>
                      <w:tab w:val="clear" w:pos="840"/>
                    </w:tabs>
                    <w:snapToGrid w:val="0"/>
                    <w:spacing w:line="360" w:lineRule="auto"/>
                    <w:ind w:left="674" w:hanging="284"/>
                    <w:rPr>
                      <w:rFonts w:hint="eastAsia" w:ascii="宋体" w:hAnsi="宋体"/>
                      <w:szCs w:val="21"/>
                    </w:rPr>
                  </w:pPr>
                  <w:r>
                    <w:rPr>
                      <w:rFonts w:hint="eastAsia" w:ascii="宋体" w:hAnsi="宋体"/>
                      <w:szCs w:val="21"/>
                    </w:rPr>
                    <w:t>时间、方式和条件：</w:t>
                  </w:r>
                  <w:r>
                    <w:rPr>
                      <w:rFonts w:hint="eastAsia" w:ascii="宋体" w:hAnsi="宋体" w:cs="宋体"/>
                      <w:bCs/>
                      <w:color w:val="000000"/>
                      <w:szCs w:val="21"/>
                      <w:highlight w:val="none"/>
                      <w:lang w:eastAsia="zh-CN"/>
                    </w:rPr>
                    <w:t>中标</w:t>
                  </w:r>
                  <w:r>
                    <w:rPr>
                      <w:rFonts w:hint="eastAsia" w:ascii="宋体" w:hAnsi="宋体" w:cs="宋体"/>
                      <w:bCs/>
                      <w:color w:val="000000"/>
                      <w:szCs w:val="21"/>
                      <w:highlight w:val="none"/>
                    </w:rPr>
                    <w:t>人</w:t>
                  </w:r>
                  <w:r>
                    <w:rPr>
                      <w:rFonts w:hint="eastAsia"/>
                      <w:lang w:eastAsia="zh-CN"/>
                    </w:rPr>
                    <w:t>供货完成调试、验收、培训且提供了厂家（或厂家授权）的售后服务承诺书后</w:t>
                  </w:r>
                  <w:r>
                    <w:rPr>
                      <w:rFonts w:hint="eastAsia"/>
                      <w:color w:val="auto"/>
                      <w:szCs w:val="21"/>
                    </w:rPr>
                    <w:t>向甲方申请退回该履约保证金，甲方收到申请审核同意后，无息返还乙方的履约保证金。因乙方原因而未能达到本项目验收标准或验收不通过的，履约保证金不予退还。</w:t>
                  </w:r>
                </w:p>
                <w:p w14:paraId="26D1CBED">
                  <w:pPr>
                    <w:numPr>
                      <w:ilvl w:val="0"/>
                      <w:numId w:val="3"/>
                    </w:numPr>
                    <w:tabs>
                      <w:tab w:val="clear" w:pos="840"/>
                    </w:tabs>
                    <w:snapToGrid w:val="0"/>
                    <w:spacing w:line="360" w:lineRule="auto"/>
                    <w:ind w:left="674" w:hanging="284"/>
                    <w:rPr>
                      <w:rFonts w:hint="eastAsia" w:ascii="宋体" w:hAnsi="宋体"/>
                      <w:szCs w:val="21"/>
                    </w:rPr>
                  </w:pPr>
                  <w:r>
                    <w:rPr>
                      <w:rFonts w:hint="eastAsia" w:ascii="宋体" w:hAnsi="宋体"/>
                      <w:szCs w:val="21"/>
                    </w:rPr>
                    <w:t>违约责任：采购人逾期退还履约保证金的，除应当退还履约保证金本金外，还应当每日按合同总价的</w:t>
                  </w:r>
                  <w:r>
                    <w:rPr>
                      <w:rFonts w:hint="eastAsia" w:ascii="宋体" w:hAnsi="宋体"/>
                      <w:szCs w:val="21"/>
                      <w:lang w:val="en-US" w:eastAsia="zh-CN"/>
                    </w:rPr>
                    <w:t>1</w:t>
                  </w:r>
                  <w:r>
                    <w:rPr>
                      <w:rFonts w:hint="eastAsia" w:ascii="宋体" w:hAnsi="宋体"/>
                      <w:szCs w:val="21"/>
                    </w:rPr>
                    <w:t>‰向中标人偿付违约金，但因</w:t>
                  </w:r>
                  <w:r>
                    <w:rPr>
                      <w:rFonts w:hint="eastAsia" w:ascii="宋体" w:hAnsi="宋体" w:cs="宋体"/>
                      <w:bCs/>
                      <w:color w:val="000000"/>
                      <w:szCs w:val="21"/>
                      <w:highlight w:val="none"/>
                    </w:rPr>
                    <w:t>投标人</w:t>
                  </w:r>
                  <w:r>
                    <w:rPr>
                      <w:rFonts w:hint="eastAsia" w:ascii="宋体" w:hAnsi="宋体"/>
                      <w:szCs w:val="21"/>
                    </w:rPr>
                    <w:t>自身原因导致无法及时退还的除外。</w:t>
                  </w:r>
                </w:p>
                <w:p w14:paraId="2F3CE673">
                  <w:pPr>
                    <w:numPr>
                      <w:ilvl w:val="0"/>
                      <w:numId w:val="3"/>
                    </w:numPr>
                    <w:tabs>
                      <w:tab w:val="clear" w:pos="840"/>
                    </w:tabs>
                    <w:snapToGrid w:val="0"/>
                    <w:spacing w:line="360" w:lineRule="auto"/>
                    <w:ind w:left="674" w:hanging="284"/>
                    <w:rPr>
                      <w:rFonts w:asciiTheme="minorEastAsia" w:hAnsiTheme="minorEastAsia" w:eastAsiaTheme="minorEastAsia"/>
                      <w:b/>
                      <w:szCs w:val="21"/>
                    </w:rPr>
                  </w:pPr>
                  <w:r>
                    <w:rPr>
                      <w:rFonts w:hint="eastAsia" w:ascii="宋体" w:hAnsi="宋体"/>
                      <w:color w:val="auto"/>
                      <w:szCs w:val="21"/>
                    </w:rPr>
                    <w:t>中标人违反合同及其附件约定的任何义务，采购人有权在履约保证金中直接扣除</w:t>
                  </w:r>
                  <w:r>
                    <w:rPr>
                      <w:rFonts w:hint="eastAsia" w:ascii="宋体" w:hAnsi="宋体" w:cs="宋体"/>
                      <w:bCs/>
                      <w:color w:val="auto"/>
                      <w:szCs w:val="21"/>
                      <w:highlight w:val="none"/>
                    </w:rPr>
                    <w:t>投标人</w:t>
                  </w:r>
                  <w:r>
                    <w:rPr>
                      <w:rFonts w:hint="eastAsia" w:ascii="宋体" w:hAnsi="宋体"/>
                      <w:color w:val="auto"/>
                      <w:szCs w:val="21"/>
                    </w:rPr>
                    <w:t>应向采购人支付的违约金或损失赔偿额，如有不足的，中标人应</w:t>
                  </w:r>
                  <w:r>
                    <w:rPr>
                      <w:rFonts w:hint="eastAsia" w:ascii="宋体" w:hAnsi="宋体"/>
                      <w:szCs w:val="21"/>
                    </w:rPr>
                    <w:t>对超过的部分予以赔偿。</w:t>
                  </w:r>
                </w:p>
              </w:tc>
            </w:tr>
            <w:tr w14:paraId="0A014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05" w:type="pct"/>
                  <w:vAlign w:val="center"/>
                </w:tcPr>
                <w:p w14:paraId="23FD681B">
                  <w:pPr>
                    <w:jc w:val="center"/>
                    <w:rPr>
                      <w:rFonts w:hint="eastAsia" w:cs="Times New Roman" w:asciiTheme="minorEastAsia" w:hAnsiTheme="minorEastAsia" w:eastAsiaTheme="minorEastAsia"/>
                      <w:b/>
                      <w:kern w:val="2"/>
                      <w:sz w:val="21"/>
                      <w:szCs w:val="21"/>
                      <w:lang w:val="en-US" w:eastAsia="zh-CN" w:bidi="ar-SA"/>
                    </w:rPr>
                  </w:pPr>
                  <w:r>
                    <w:rPr>
                      <w:rFonts w:hint="eastAsia" w:asciiTheme="minorEastAsia" w:hAnsiTheme="minorEastAsia" w:eastAsiaTheme="minorEastAsia"/>
                      <w:b/>
                      <w:szCs w:val="21"/>
                      <w:lang w:val="en-US" w:eastAsia="zh-CN"/>
                    </w:rPr>
                    <w:t>8</w:t>
                  </w:r>
                </w:p>
              </w:tc>
              <w:tc>
                <w:tcPr>
                  <w:tcW w:w="917" w:type="pct"/>
                  <w:vAlign w:val="top"/>
                </w:tcPr>
                <w:p w14:paraId="777E9466">
                  <w:pPr>
                    <w:rPr>
                      <w:rFonts w:cs="Times New Roman" w:asciiTheme="minorEastAsia" w:hAnsiTheme="minorEastAsia" w:eastAsiaTheme="minorEastAsia"/>
                      <w:b/>
                      <w:kern w:val="2"/>
                      <w:sz w:val="21"/>
                      <w:szCs w:val="21"/>
                      <w:lang w:val="en-US" w:eastAsia="zh-CN" w:bidi="ar-SA"/>
                    </w:rPr>
                  </w:pPr>
                </w:p>
              </w:tc>
              <w:tc>
                <w:tcPr>
                  <w:tcW w:w="3377" w:type="pct"/>
                  <w:vAlign w:val="center"/>
                </w:tcPr>
                <w:p w14:paraId="140AD39D">
                  <w:pPr>
                    <w:spacing w:line="360" w:lineRule="auto"/>
                    <w:rPr>
                      <w:rFonts w:hint="eastAsia" w:ascii="宋体" w:hAnsi="宋体" w:eastAsia="宋体" w:cs="宋体"/>
                      <w:bCs/>
                      <w:color w:val="000000"/>
                      <w:kern w:val="2"/>
                      <w:sz w:val="21"/>
                      <w:szCs w:val="21"/>
                      <w:highlight w:val="none"/>
                      <w:lang w:val="en-US" w:eastAsia="zh-CN" w:bidi="ar-SA"/>
                    </w:rPr>
                  </w:pPr>
                  <w:r>
                    <w:rPr>
                      <w:rFonts w:hint="eastAsia" w:cs="宋体" w:asciiTheme="minorEastAsia" w:hAnsiTheme="minorEastAsia" w:eastAsiaTheme="minorEastAsia"/>
                      <w:b w:val="0"/>
                      <w:bCs/>
                      <w:color w:val="auto"/>
                      <w:szCs w:val="21"/>
                    </w:rPr>
                    <w:t>★</w:t>
                  </w:r>
                  <w:r>
                    <w:rPr>
                      <w:rFonts w:hint="eastAsia" w:ascii="宋体" w:hAnsi="宋体" w:cs="宋体"/>
                      <w:b w:val="0"/>
                      <w:bCs/>
                      <w:color w:val="auto"/>
                      <w:szCs w:val="21"/>
                      <w:highlight w:val="none"/>
                    </w:rPr>
                    <w:t>8.1投标人所投产品具备相关主管部门要求的认证资料：所投产品为第一类医疗器械的，提供监督管理部门签发的有效的《医疗器械备案凭证》扫描件，原件备查；所投产品为第二、三类医疗器械的，提供监督管理部门签发的涵盖所投产品的《医疗器械注册证》(有效期内)扫描件，原件备查。</w:t>
                  </w:r>
                </w:p>
              </w:tc>
            </w:tr>
          </w:tbl>
          <w:p w14:paraId="348F8102">
            <w:pPr>
              <w:spacing w:before="120" w:after="120" w:line="360" w:lineRule="auto"/>
              <w:outlineLvl w:val="2"/>
              <w:rPr>
                <w:rFonts w:cs="宋体" w:asciiTheme="minorEastAsia" w:hAnsiTheme="minorEastAsia" w:eastAsiaTheme="minorEastAsia"/>
                <w:color w:val="000000" w:themeColor="text1"/>
                <w:szCs w:val="21"/>
                <w14:textFill>
                  <w14:solidFill>
                    <w14:schemeClr w14:val="tx1"/>
                  </w14:solidFill>
                </w14:textFill>
              </w:rPr>
            </w:pPr>
          </w:p>
        </w:tc>
      </w:tr>
    </w:tbl>
    <w:p w14:paraId="6CC31EA0">
      <w:pPr>
        <w:pStyle w:val="12"/>
        <w:rPr>
          <w:rFonts w:hint="eastAsia"/>
        </w:rPr>
      </w:pPr>
    </w:p>
    <w:p w14:paraId="234A1C0A">
      <w:pPr>
        <w:rPr>
          <w:rFonts w:hint="eastAsia" w:ascii="宋体" w:hAnsi="宋体"/>
          <w:b/>
          <w:color w:val="FF0000"/>
          <w:sz w:val="32"/>
          <w:szCs w:val="32"/>
        </w:rPr>
      </w:pPr>
      <w:r>
        <w:rPr>
          <w:rFonts w:hint="eastAsia" w:ascii="宋体" w:hAnsi="宋体"/>
          <w:b/>
          <w:color w:val="FF0000"/>
          <w:sz w:val="32"/>
          <w:szCs w:val="32"/>
        </w:rPr>
        <w:br w:type="page"/>
      </w:r>
    </w:p>
    <w:p w14:paraId="646E7AA4">
      <w:pPr>
        <w:tabs>
          <w:tab w:val="left" w:pos="2815"/>
        </w:tabs>
        <w:jc w:val="left"/>
        <w:rPr>
          <w:rFonts w:ascii="宋体" w:hAnsi="宋体"/>
          <w:b/>
          <w:bCs/>
          <w:color w:val="FF0000"/>
          <w:sz w:val="28"/>
          <w:szCs w:val="32"/>
        </w:rPr>
      </w:pPr>
      <w:r>
        <w:rPr>
          <w:rFonts w:hint="eastAsia" w:ascii="宋体" w:hAnsi="宋体"/>
          <w:b/>
          <w:bCs/>
          <w:color w:val="FF0000"/>
          <w:sz w:val="28"/>
          <w:szCs w:val="32"/>
        </w:rPr>
        <w:t>综合评分法</w:t>
      </w:r>
      <w:r>
        <w:rPr>
          <w:rFonts w:ascii="宋体" w:hAnsi="宋体"/>
          <w:b/>
          <w:bCs/>
          <w:color w:val="FF0000"/>
          <w:sz w:val="28"/>
          <w:szCs w:val="32"/>
        </w:rPr>
        <w:t>评标信息</w:t>
      </w:r>
    </w:p>
    <w:tbl>
      <w:tblPr>
        <w:tblStyle w:val="16"/>
        <w:tblW w:w="9281" w:type="dxa"/>
        <w:jc w:val="center"/>
        <w:tblCellSpacing w:w="0" w:type="dxa"/>
        <w:tblLayout w:type="autofit"/>
        <w:tblCellMar>
          <w:top w:w="45" w:type="dxa"/>
          <w:left w:w="45" w:type="dxa"/>
          <w:bottom w:w="45" w:type="dxa"/>
          <w:right w:w="45" w:type="dxa"/>
        </w:tblCellMar>
      </w:tblPr>
      <w:tblGrid>
        <w:gridCol w:w="9281"/>
      </w:tblGrid>
      <w:tr w14:paraId="5D345A00">
        <w:tblPrEx>
          <w:tblCellMar>
            <w:top w:w="45" w:type="dxa"/>
            <w:left w:w="45" w:type="dxa"/>
            <w:bottom w:w="45" w:type="dxa"/>
            <w:right w:w="45" w:type="dxa"/>
          </w:tblCellMar>
        </w:tblPrEx>
        <w:trPr>
          <w:tblCellSpacing w:w="0" w:type="dxa"/>
          <w:jc w:val="center"/>
        </w:trPr>
        <w:tc>
          <w:tcPr>
            <w:tcW w:w="0" w:type="auto"/>
            <w:tcBorders>
              <w:top w:val="nil"/>
              <w:left w:val="nil"/>
              <w:bottom w:val="nil"/>
              <w:right w:val="nil"/>
            </w:tcBorders>
            <w:vAlign w:val="center"/>
          </w:tcPr>
          <w:p w14:paraId="13380812">
            <w:pPr>
              <w:rPr>
                <w:b/>
                <w:bCs/>
                <w:color w:val="FF0000"/>
              </w:rPr>
            </w:pPr>
            <w:r>
              <w:rPr>
                <w:rFonts w:hint="eastAsia"/>
                <w:b/>
                <w:bCs/>
                <w:color w:val="FF0000"/>
              </w:rPr>
              <w:t xml:space="preserve">    </w:t>
            </w:r>
          </w:p>
          <w:p w14:paraId="088C79FF">
            <w:pPr>
              <w:ind w:firstLine="422" w:firstLineChars="200"/>
              <w:rPr>
                <w:b/>
                <w:bCs/>
                <w:color w:val="FF0000"/>
              </w:rPr>
            </w:pPr>
            <w:r>
              <w:rPr>
                <w:rFonts w:hint="eastAsia"/>
                <w:b/>
                <w:bCs/>
                <w:color w:val="FF0000"/>
              </w:rPr>
              <w:t>一、</w:t>
            </w:r>
            <w:r>
              <w:rPr>
                <w:b/>
                <w:bCs/>
                <w:color w:val="FF0000"/>
              </w:rPr>
              <w:t>评标方法：综合评分法（新价格分算法）</w:t>
            </w:r>
          </w:p>
        </w:tc>
      </w:tr>
      <w:tr w14:paraId="3CBA0F34">
        <w:tblPrEx>
          <w:tblCellMar>
            <w:top w:w="45" w:type="dxa"/>
            <w:left w:w="45" w:type="dxa"/>
            <w:bottom w:w="45" w:type="dxa"/>
            <w:right w:w="45" w:type="dxa"/>
          </w:tblCellMar>
        </w:tblPrEx>
        <w:trPr>
          <w:trHeight w:val="90" w:hRule="atLeast"/>
          <w:tblCellSpacing w:w="0" w:type="dxa"/>
          <w:jc w:val="center"/>
        </w:trPr>
        <w:tc>
          <w:tcPr>
            <w:tcW w:w="0" w:type="auto"/>
            <w:tcBorders>
              <w:top w:val="nil"/>
              <w:left w:val="nil"/>
              <w:bottom w:val="nil"/>
              <w:right w:val="nil"/>
            </w:tcBorders>
            <w:vAlign w:val="center"/>
          </w:tcPr>
          <w:p w14:paraId="0132F091">
            <w:pPr>
              <w:ind w:firstLine="411" w:firstLineChars="196"/>
              <w:rPr>
                <w:rFonts w:ascii="ˎ̥" w:hAnsi="ˎ̥"/>
              </w:rPr>
            </w:pPr>
            <w:r>
              <w:rPr>
                <w:rFonts w:hint="eastAsia"/>
              </w:rPr>
              <w:t xml:space="preserve">   </w:t>
            </w:r>
            <w:r>
              <w:rPr>
                <w:rFonts w:hint="eastAsia" w:ascii="ˎ̥" w:hAnsi="ˎ̥"/>
              </w:rPr>
              <w:t>综合评分法，是指投标文件满足招标文件全部实质性要求，且按照评审因素的量化指标评审得分最高的投标人为中标候选人的评标方法</w:t>
            </w:r>
            <w:r>
              <w:rPr>
                <w:rFonts w:hint="eastAsia"/>
              </w:rPr>
              <w:t>（排名第二的投标人为第一递补中标候选人、排名第三的投标人为第二递补中标候选人）</w:t>
            </w:r>
            <w:r>
              <w:rPr>
                <w:rFonts w:hint="eastAsia" w:ascii="ˎ̥" w:hAnsi="ˎ̥"/>
              </w:rPr>
              <w:t>。</w:t>
            </w:r>
            <w:r>
              <w:t xml:space="preserve"> </w:t>
            </w:r>
          </w:p>
          <w:p w14:paraId="08F52E18">
            <w:r>
              <w:rPr>
                <w:rFonts w:hint="eastAsia"/>
              </w:rPr>
              <w:t xml:space="preserve">    </w:t>
            </w:r>
            <w:r>
              <w:t>价格分计算方法：</w:t>
            </w:r>
          </w:p>
          <w:p w14:paraId="0377BC2D">
            <w:pPr>
              <w:rPr>
                <w:b/>
                <w:bCs/>
                <w:color w:val="FF0000"/>
              </w:rPr>
            </w:pPr>
            <w:r>
              <w:rPr>
                <w:rFonts w:hint="eastAsia"/>
              </w:rPr>
              <w:t xml:space="preserve">    </w:t>
            </w:r>
            <w:r>
              <w:t xml:space="preserve">采用低价优先法计算，即满足招标文件要求且投标价格最低的投标报价为评标基准价，其价格分为满分。其他投标人的价格分统一按照下列公式计算： </w:t>
            </w:r>
            <w:r>
              <w:br w:type="textWrapping"/>
            </w:r>
            <w:r>
              <w:rPr>
                <w:rFonts w:hint="eastAsia"/>
              </w:rPr>
              <w:t xml:space="preserve">    </w:t>
            </w:r>
            <w:r>
              <w:t xml:space="preserve">投标报价得分=(评标基准价／投标报价)×100 </w:t>
            </w:r>
            <w:r>
              <w:br w:type="textWrapping"/>
            </w:r>
            <w:r>
              <w:rPr>
                <w:rFonts w:hint="eastAsia"/>
              </w:rPr>
              <w:t xml:space="preserve">    </w:t>
            </w:r>
            <w:r>
              <w:t xml:space="preserve">评标总得分＝F1×A1＋F2×A2＋……＋Fn×An </w:t>
            </w:r>
            <w:r>
              <w:br w:type="textWrapping"/>
            </w:r>
            <w:r>
              <w:rPr>
                <w:rFonts w:hint="eastAsia"/>
              </w:rPr>
              <w:t xml:space="preserve">    </w:t>
            </w:r>
            <w:r>
              <w:t xml:space="preserve">F1、F2……Fn分别为各项评审因素的得分； </w:t>
            </w:r>
            <w:r>
              <w:br w:type="textWrapping"/>
            </w:r>
            <w:r>
              <w:rPr>
                <w:rFonts w:hint="eastAsia"/>
              </w:rPr>
              <w:t xml:space="preserve">    </w:t>
            </w:r>
            <w:r>
              <w:t xml:space="preserve">A1、A2、……An 分别为各项评审因素所占的权重(A1＋A2＋……＋An＝1)。 </w:t>
            </w:r>
            <w:r>
              <w:br w:type="textWrapping"/>
            </w:r>
            <w:r>
              <w:rPr>
                <w:rFonts w:hint="eastAsia"/>
              </w:rPr>
              <w:t xml:space="preserve">    </w:t>
            </w:r>
            <w:r>
              <w:t xml:space="preserve">评标过程中，不得去掉报价中的最高报价和最低报价。 </w:t>
            </w:r>
            <w:r>
              <w:br w:type="textWrapping"/>
            </w:r>
            <w:r>
              <w:rPr>
                <w:rFonts w:hint="eastAsia"/>
              </w:rPr>
              <w:t xml:space="preserve">    </w:t>
            </w:r>
            <w:r>
              <w:t xml:space="preserve">此方法适用于货物类、服务类、工程类项目。 </w:t>
            </w:r>
          </w:p>
        </w:tc>
      </w:tr>
    </w:tbl>
    <w:p w14:paraId="5D8F74A9">
      <w:pPr>
        <w:rPr>
          <w:b/>
          <w:bCs/>
          <w:color w:val="FF0000"/>
        </w:rPr>
      </w:pPr>
    </w:p>
    <w:p w14:paraId="5DF41AA2">
      <w:r>
        <w:rPr>
          <w:rFonts w:hint="eastAsia"/>
          <w:b/>
          <w:bCs/>
          <w:color w:val="FF0000"/>
        </w:rPr>
        <w:t>二、评标信息</w:t>
      </w:r>
    </w:p>
    <w:tbl>
      <w:tblPr>
        <w:tblStyle w:val="16"/>
        <w:tblW w:w="9147" w:type="dxa"/>
        <w:tblInd w:w="93"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80"/>
        <w:gridCol w:w="1202"/>
        <w:gridCol w:w="6345"/>
        <w:gridCol w:w="920"/>
      </w:tblGrid>
      <w:tr w14:paraId="024F38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noWrap w:val="0"/>
            <w:vAlign w:val="center"/>
          </w:tcPr>
          <w:p w14:paraId="5C9B9F0F">
            <w:pPr>
              <w:ind w:left="-78" w:leftChars="-37" w:right="-73" w:rightChars="-35"/>
              <w:jc w:val="center"/>
              <w:rPr>
                <w:rFonts w:ascii="宋体" w:hAnsi="宋体" w:cs="宋体"/>
                <w:b/>
                <w:szCs w:val="21"/>
              </w:rPr>
            </w:pPr>
            <w:r>
              <w:rPr>
                <w:rFonts w:hint="eastAsia" w:ascii="宋体" w:hAnsi="宋体" w:cs="宋体"/>
                <w:b/>
                <w:szCs w:val="21"/>
              </w:rPr>
              <w:t>评审部分</w:t>
            </w:r>
          </w:p>
        </w:tc>
        <w:tc>
          <w:tcPr>
            <w:tcW w:w="1202" w:type="dxa"/>
            <w:noWrap w:val="0"/>
            <w:vAlign w:val="center"/>
          </w:tcPr>
          <w:p w14:paraId="53FCC6A7">
            <w:pPr>
              <w:ind w:left="-78" w:leftChars="-37" w:right="-73" w:rightChars="-35"/>
              <w:jc w:val="center"/>
              <w:rPr>
                <w:rFonts w:ascii="宋体" w:hAnsi="宋体" w:cs="宋体"/>
                <w:b/>
                <w:szCs w:val="21"/>
              </w:rPr>
            </w:pPr>
            <w:r>
              <w:rPr>
                <w:rFonts w:hint="eastAsia" w:ascii="宋体" w:hAnsi="宋体" w:cs="宋体"/>
                <w:b/>
                <w:szCs w:val="21"/>
              </w:rPr>
              <w:t>评审因素</w:t>
            </w:r>
          </w:p>
        </w:tc>
        <w:tc>
          <w:tcPr>
            <w:tcW w:w="6345" w:type="dxa"/>
            <w:noWrap w:val="0"/>
            <w:vAlign w:val="center"/>
          </w:tcPr>
          <w:p w14:paraId="7F567A9A">
            <w:pPr>
              <w:ind w:left="-78" w:leftChars="-37" w:right="-73" w:rightChars="-35"/>
              <w:jc w:val="center"/>
              <w:rPr>
                <w:rFonts w:ascii="宋体" w:hAnsi="宋体" w:cs="宋体"/>
                <w:b/>
                <w:szCs w:val="21"/>
              </w:rPr>
            </w:pPr>
            <w:r>
              <w:rPr>
                <w:rFonts w:hint="eastAsia" w:ascii="宋体" w:hAnsi="宋体" w:cs="宋体"/>
                <w:b/>
                <w:szCs w:val="21"/>
              </w:rPr>
              <w:t>评分细则</w:t>
            </w:r>
          </w:p>
        </w:tc>
        <w:tc>
          <w:tcPr>
            <w:tcW w:w="920" w:type="dxa"/>
            <w:noWrap w:val="0"/>
            <w:vAlign w:val="center"/>
          </w:tcPr>
          <w:p w14:paraId="17087997">
            <w:pPr>
              <w:ind w:left="-78" w:leftChars="-37" w:right="-73" w:rightChars="-35"/>
              <w:jc w:val="center"/>
              <w:rPr>
                <w:rFonts w:ascii="宋体" w:hAnsi="宋体" w:cs="宋体"/>
                <w:b/>
                <w:szCs w:val="21"/>
              </w:rPr>
            </w:pPr>
            <w:r>
              <w:rPr>
                <w:rFonts w:hint="eastAsia" w:ascii="宋体" w:hAnsi="宋体" w:cs="宋体"/>
                <w:b/>
                <w:szCs w:val="21"/>
              </w:rPr>
              <w:t>分值（分）</w:t>
            </w:r>
          </w:p>
        </w:tc>
      </w:tr>
      <w:tr w14:paraId="4496D3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1" w:hRule="atLeast"/>
        </w:trPr>
        <w:tc>
          <w:tcPr>
            <w:tcW w:w="680" w:type="dxa"/>
            <w:noWrap w:val="0"/>
            <w:vAlign w:val="center"/>
          </w:tcPr>
          <w:p w14:paraId="525AEBF2">
            <w:pPr>
              <w:ind w:left="-78" w:leftChars="-37" w:right="-73" w:rightChars="-35"/>
              <w:jc w:val="center"/>
              <w:rPr>
                <w:rFonts w:ascii="宋体" w:hAnsi="宋体" w:cs="宋体"/>
                <w:b/>
                <w:szCs w:val="21"/>
              </w:rPr>
            </w:pPr>
            <w:r>
              <w:rPr>
                <w:rFonts w:hint="eastAsia" w:ascii="宋体" w:hAnsi="宋体" w:cs="宋体"/>
                <w:b/>
                <w:szCs w:val="21"/>
              </w:rPr>
              <w:t>一</w:t>
            </w:r>
          </w:p>
        </w:tc>
        <w:tc>
          <w:tcPr>
            <w:tcW w:w="8467" w:type="dxa"/>
            <w:gridSpan w:val="3"/>
            <w:noWrap w:val="0"/>
            <w:vAlign w:val="center"/>
          </w:tcPr>
          <w:p w14:paraId="44DA5053">
            <w:pPr>
              <w:ind w:left="-78" w:leftChars="-37" w:right="-73" w:rightChars="-35"/>
              <w:jc w:val="center"/>
              <w:rPr>
                <w:rFonts w:ascii="宋体" w:hAnsi="宋体" w:cs="宋体"/>
                <w:b/>
                <w:szCs w:val="21"/>
              </w:rPr>
            </w:pPr>
            <w:r>
              <w:rPr>
                <w:rFonts w:hint="eastAsia" w:ascii="宋体" w:hAnsi="宋体" w:cs="宋体"/>
                <w:b/>
                <w:szCs w:val="21"/>
              </w:rPr>
              <w:t>技术部分（55分）</w:t>
            </w:r>
          </w:p>
        </w:tc>
      </w:tr>
      <w:tr w14:paraId="56C529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trPr>
        <w:tc>
          <w:tcPr>
            <w:tcW w:w="680" w:type="dxa"/>
            <w:tcBorders>
              <w:bottom w:val="single" w:color="auto" w:sz="4" w:space="0"/>
            </w:tcBorders>
            <w:noWrap w:val="0"/>
            <w:vAlign w:val="center"/>
          </w:tcPr>
          <w:p w14:paraId="27BBF6A3">
            <w:pPr>
              <w:pStyle w:val="29"/>
              <w:numPr>
                <w:ilvl w:val="0"/>
                <w:numId w:val="4"/>
              </w:numPr>
              <w:ind w:firstLineChars="0"/>
              <w:jc w:val="right"/>
              <w:rPr>
                <w:rFonts w:ascii="宋体" w:hAnsi="宋体" w:cs="宋体"/>
                <w:szCs w:val="21"/>
              </w:rPr>
            </w:pPr>
          </w:p>
        </w:tc>
        <w:tc>
          <w:tcPr>
            <w:tcW w:w="1202" w:type="dxa"/>
            <w:noWrap w:val="0"/>
            <w:vAlign w:val="center"/>
          </w:tcPr>
          <w:p w14:paraId="1A402111">
            <w:pPr>
              <w:adjustRightInd w:val="0"/>
              <w:snapToGrid w:val="0"/>
              <w:spacing w:line="240" w:lineRule="atLeast"/>
              <w:jc w:val="center"/>
              <w:rPr>
                <w:rFonts w:ascii="宋体" w:hAnsi="宋体" w:cs="宋体"/>
                <w:szCs w:val="21"/>
              </w:rPr>
            </w:pPr>
            <w:r>
              <w:rPr>
                <w:rFonts w:hint="eastAsia" w:ascii="宋体" w:hAnsi="宋体" w:cs="宋体"/>
                <w:szCs w:val="21"/>
              </w:rPr>
              <w:t>技术规格偏离情况</w:t>
            </w:r>
          </w:p>
        </w:tc>
        <w:tc>
          <w:tcPr>
            <w:tcW w:w="6345" w:type="dxa"/>
            <w:noWrap w:val="0"/>
            <w:vAlign w:val="center"/>
          </w:tcPr>
          <w:p w14:paraId="49CD2984">
            <w:pPr>
              <w:pStyle w:val="29"/>
              <w:spacing w:line="360" w:lineRule="exact"/>
              <w:ind w:firstLine="0" w:firstLineChars="0"/>
              <w:rPr>
                <w:rFonts w:ascii="宋体" w:hAnsi="宋体" w:cs="宋体"/>
                <w:szCs w:val="21"/>
              </w:rPr>
            </w:pPr>
            <w:r>
              <w:rPr>
                <w:rFonts w:hint="eastAsia" w:ascii="宋体" w:hAnsi="宋体"/>
                <w:szCs w:val="21"/>
              </w:rPr>
              <w:t>一、评分内容：</w:t>
            </w:r>
          </w:p>
          <w:p w14:paraId="356B0362">
            <w:pPr>
              <w:rPr>
                <w:rFonts w:ascii="宋体" w:hAnsi="宋体" w:cs="宋体"/>
                <w:szCs w:val="21"/>
              </w:rPr>
            </w:pPr>
            <w:r>
              <w:rPr>
                <w:rFonts w:hint="eastAsia" w:ascii="宋体" w:hAnsi="宋体" w:cs="宋体"/>
                <w:szCs w:val="21"/>
              </w:rPr>
              <w:t>投标人应如实填写</w:t>
            </w:r>
            <w:r>
              <w:rPr>
                <w:rFonts w:hint="eastAsia" w:ascii="宋体" w:hAnsi="宋体" w:cs="宋体"/>
                <w:kern w:val="0"/>
                <w:szCs w:val="21"/>
              </w:rPr>
              <w:t>《</w:t>
            </w:r>
            <w:r>
              <w:rPr>
                <w:rFonts w:hint="eastAsia" w:ascii="宋体" w:hAnsi="宋体" w:cs="仿宋"/>
                <w:szCs w:val="21"/>
              </w:rPr>
              <w:t>技术规格偏离表</w:t>
            </w:r>
            <w:r>
              <w:rPr>
                <w:rFonts w:hint="eastAsia" w:ascii="宋体" w:hAnsi="宋体" w:cs="宋体"/>
                <w:kern w:val="0"/>
                <w:szCs w:val="21"/>
              </w:rPr>
              <w:t>》</w:t>
            </w:r>
            <w:r>
              <w:rPr>
                <w:rFonts w:hint="eastAsia" w:ascii="宋体" w:hAnsi="宋体" w:cs="宋体"/>
                <w:szCs w:val="21"/>
              </w:rPr>
              <w:t>，评审委员会根据第三章 用户需求书“二、技术要求”响应情况进行打分，各项技术参数指标及要求全部满足的得满分。</w:t>
            </w:r>
          </w:p>
          <w:p w14:paraId="077F6206">
            <w:pPr>
              <w:rPr>
                <w:rFonts w:ascii="宋体" w:hAnsi="宋体" w:cs="宋体"/>
                <w:color w:val="auto"/>
                <w:szCs w:val="21"/>
              </w:rPr>
            </w:pPr>
            <w:r>
              <w:rPr>
                <w:rFonts w:hint="eastAsia" w:ascii="宋体" w:hAnsi="宋体" w:cs="宋体"/>
                <w:color w:val="auto"/>
                <w:szCs w:val="21"/>
              </w:rPr>
              <w:t>带▲参数为重点参数共</w:t>
            </w:r>
            <w:r>
              <w:rPr>
                <w:rFonts w:hint="eastAsia" w:ascii="宋体" w:hAnsi="宋体" w:cs="宋体"/>
                <w:color w:val="auto"/>
                <w:szCs w:val="21"/>
                <w:highlight w:val="yellow"/>
              </w:rPr>
              <w:t>{</w:t>
            </w:r>
            <w:r>
              <w:rPr>
                <w:rFonts w:hint="eastAsia" w:ascii="宋体" w:hAnsi="宋体" w:cs="宋体"/>
                <w:color w:val="auto"/>
                <w:szCs w:val="21"/>
                <w:highlight w:val="yellow"/>
                <w:lang w:val="en-US" w:eastAsia="zh-CN"/>
              </w:rPr>
              <w:t>17</w:t>
            </w:r>
            <w:r>
              <w:rPr>
                <w:rFonts w:hint="eastAsia" w:ascii="宋体" w:hAnsi="宋体" w:cs="宋体"/>
                <w:color w:val="auto"/>
                <w:szCs w:val="21"/>
                <w:highlight w:val="yellow"/>
              </w:rPr>
              <w:t>}</w:t>
            </w:r>
            <w:r>
              <w:rPr>
                <w:rFonts w:hint="eastAsia" w:ascii="宋体" w:hAnsi="宋体" w:cs="宋体"/>
                <w:color w:val="auto"/>
                <w:szCs w:val="21"/>
              </w:rPr>
              <w:t>分，每负偏离一项扣</w:t>
            </w:r>
            <w:r>
              <w:rPr>
                <w:rFonts w:hint="eastAsia" w:ascii="宋体" w:hAnsi="宋体" w:cs="宋体"/>
                <w:color w:val="auto"/>
                <w:szCs w:val="21"/>
                <w:highlight w:val="yellow"/>
              </w:rPr>
              <w:t>{</w:t>
            </w:r>
            <w:r>
              <w:rPr>
                <w:rFonts w:hint="eastAsia" w:ascii="宋体" w:hAnsi="宋体" w:cs="宋体"/>
                <w:color w:val="auto"/>
                <w:szCs w:val="21"/>
                <w:highlight w:val="yellow"/>
                <w:lang w:val="en-US" w:eastAsia="zh-CN"/>
              </w:rPr>
              <w:t>4.25</w:t>
            </w:r>
            <w:r>
              <w:rPr>
                <w:rFonts w:hint="eastAsia" w:ascii="宋体" w:hAnsi="宋体" w:cs="宋体"/>
                <w:color w:val="auto"/>
                <w:szCs w:val="21"/>
                <w:highlight w:val="yellow"/>
              </w:rPr>
              <w:t>}</w:t>
            </w:r>
            <w:r>
              <w:rPr>
                <w:rFonts w:hint="eastAsia" w:ascii="宋体" w:hAnsi="宋体" w:cs="宋体"/>
                <w:color w:val="auto"/>
                <w:szCs w:val="21"/>
              </w:rPr>
              <w:t>分</w:t>
            </w:r>
          </w:p>
          <w:p w14:paraId="0E80F852">
            <w:pPr>
              <w:rPr>
                <w:rFonts w:ascii="宋体" w:hAnsi="宋体" w:cs="宋体"/>
                <w:color w:val="auto"/>
                <w:szCs w:val="21"/>
              </w:rPr>
            </w:pPr>
            <w:r>
              <w:rPr>
                <w:rFonts w:hint="eastAsia" w:ascii="宋体" w:hAnsi="宋体" w:cs="宋体"/>
                <w:color w:val="auto"/>
                <w:szCs w:val="21"/>
              </w:rPr>
              <w:t>其他一般参数共</w:t>
            </w:r>
            <w:r>
              <w:rPr>
                <w:rFonts w:hint="eastAsia" w:ascii="宋体" w:hAnsi="宋体" w:cs="宋体"/>
                <w:color w:val="auto"/>
                <w:szCs w:val="21"/>
                <w:highlight w:val="yellow"/>
              </w:rPr>
              <w:t>{</w:t>
            </w:r>
            <w:r>
              <w:rPr>
                <w:rFonts w:hint="eastAsia" w:ascii="宋体" w:hAnsi="宋体" w:cs="宋体"/>
                <w:color w:val="auto"/>
                <w:szCs w:val="21"/>
                <w:highlight w:val="yellow"/>
                <w:lang w:val="en-US" w:eastAsia="zh-CN"/>
              </w:rPr>
              <w:t>34</w:t>
            </w:r>
            <w:r>
              <w:rPr>
                <w:rFonts w:hint="eastAsia" w:ascii="宋体" w:hAnsi="宋体" w:cs="宋体"/>
                <w:color w:val="auto"/>
                <w:szCs w:val="21"/>
                <w:highlight w:val="yellow"/>
              </w:rPr>
              <w:t>}</w:t>
            </w:r>
            <w:r>
              <w:rPr>
                <w:rFonts w:hint="eastAsia" w:ascii="宋体" w:hAnsi="宋体" w:cs="宋体"/>
                <w:color w:val="auto"/>
                <w:szCs w:val="21"/>
              </w:rPr>
              <w:t>分，每偏离一项扣</w:t>
            </w:r>
            <w:r>
              <w:rPr>
                <w:rFonts w:hint="eastAsia" w:ascii="宋体" w:hAnsi="宋体" w:cs="宋体"/>
                <w:color w:val="auto"/>
                <w:szCs w:val="21"/>
                <w:highlight w:val="yellow"/>
              </w:rPr>
              <w:t>{</w:t>
            </w:r>
            <w:r>
              <w:rPr>
                <w:rFonts w:hint="eastAsia" w:ascii="宋体" w:hAnsi="宋体" w:cs="宋体"/>
                <w:color w:val="auto"/>
                <w:szCs w:val="21"/>
                <w:highlight w:val="yellow"/>
                <w:lang w:val="en-US" w:eastAsia="zh-CN"/>
              </w:rPr>
              <w:t>2</w:t>
            </w:r>
            <w:r>
              <w:rPr>
                <w:rFonts w:hint="eastAsia" w:ascii="宋体" w:hAnsi="宋体" w:cs="宋体"/>
                <w:color w:val="auto"/>
                <w:szCs w:val="21"/>
                <w:highlight w:val="yellow"/>
              </w:rPr>
              <w:t>}</w:t>
            </w:r>
            <w:r>
              <w:rPr>
                <w:rFonts w:hint="eastAsia" w:ascii="宋体" w:hAnsi="宋体" w:cs="宋体"/>
                <w:color w:val="auto"/>
                <w:szCs w:val="21"/>
              </w:rPr>
              <w:t>分</w:t>
            </w:r>
          </w:p>
          <w:p w14:paraId="4843A01D">
            <w:pPr>
              <w:autoSpaceDE w:val="0"/>
              <w:autoSpaceDN w:val="0"/>
              <w:adjustRightInd w:val="0"/>
              <w:spacing w:line="360" w:lineRule="exact"/>
              <w:jc w:val="left"/>
              <w:rPr>
                <w:rFonts w:ascii="宋体" w:hAnsi="宋体"/>
                <w:kern w:val="0"/>
                <w:szCs w:val="21"/>
              </w:rPr>
            </w:pPr>
            <w:r>
              <w:rPr>
                <w:rFonts w:hint="eastAsia" w:ascii="宋体" w:hAnsi="宋体"/>
                <w:kern w:val="0"/>
                <w:szCs w:val="21"/>
              </w:rPr>
              <w:t>二、评分依据：</w:t>
            </w:r>
          </w:p>
          <w:p w14:paraId="0583100C">
            <w:pPr>
              <w:pStyle w:val="30"/>
              <w:rPr>
                <w:sz w:val="21"/>
                <w:szCs w:val="21"/>
              </w:rPr>
            </w:pPr>
            <w:r>
              <w:rPr>
                <w:rFonts w:hint="eastAsia" w:ascii="宋体" w:hAnsi="宋体"/>
                <w:sz w:val="21"/>
                <w:szCs w:val="21"/>
              </w:rPr>
              <w:t>以投标文件《技术</w:t>
            </w:r>
            <w:r>
              <w:rPr>
                <w:rFonts w:hint="eastAsia" w:ascii="宋体" w:hAnsi="宋体" w:cs="仿宋"/>
                <w:sz w:val="21"/>
                <w:szCs w:val="21"/>
              </w:rPr>
              <w:t>规格</w:t>
            </w:r>
            <w:r>
              <w:rPr>
                <w:rFonts w:hint="eastAsia" w:ascii="宋体" w:hAnsi="宋体"/>
                <w:sz w:val="21"/>
                <w:szCs w:val="21"/>
              </w:rPr>
              <w:t>偏离表》为评分依据，投标人</w:t>
            </w:r>
            <w:r>
              <w:rPr>
                <w:rFonts w:hint="eastAsia" w:ascii="宋体" w:hAnsi="宋体" w:cs="仿宋"/>
                <w:sz w:val="21"/>
                <w:szCs w:val="21"/>
              </w:rPr>
              <w:t>按招标文件要求提供相应的证明材料复印件或扫描件加盖投标人公章（原件备查），并注明证明材料在投标文件中的具体位置。未提供有效证明材料或未注明证明材料在投标文件中的具体位置或提供的证明资料显示不符合招标文件要求、模糊不清无法判断或未显示是否满足招标文件参数的，该项技术指标按负偏离处理。</w:t>
            </w:r>
            <w:r>
              <w:rPr>
                <w:rFonts w:hint="eastAsia" w:ascii="宋体" w:hAnsi="宋体"/>
                <w:sz w:val="21"/>
                <w:szCs w:val="21"/>
              </w:rPr>
              <w:t>对于不同货物的技术要求中的相同项不满足时按一项不满足进行扣分，不对某一项技术要求重复扣分。</w:t>
            </w:r>
          </w:p>
        </w:tc>
        <w:tc>
          <w:tcPr>
            <w:tcW w:w="920" w:type="dxa"/>
            <w:noWrap w:val="0"/>
            <w:vAlign w:val="center"/>
          </w:tcPr>
          <w:p w14:paraId="2463E7AA">
            <w:pPr>
              <w:ind w:left="-78" w:leftChars="-37" w:right="-73" w:rightChars="-35"/>
              <w:jc w:val="center"/>
              <w:rPr>
                <w:rFonts w:hint="eastAsia" w:ascii="宋体" w:hAnsi="宋体" w:eastAsia="宋体" w:cs="宋体"/>
                <w:szCs w:val="21"/>
                <w:lang w:eastAsia="zh-CN"/>
              </w:rPr>
            </w:pPr>
            <w:r>
              <w:rPr>
                <w:rFonts w:hint="eastAsia" w:ascii="宋体" w:hAnsi="宋体" w:cs="宋体"/>
                <w:szCs w:val="21"/>
                <w:highlight w:val="yellow"/>
              </w:rPr>
              <w:t>5</w:t>
            </w:r>
            <w:r>
              <w:rPr>
                <w:rFonts w:hint="eastAsia" w:ascii="宋体" w:hAnsi="宋体" w:cs="宋体"/>
                <w:szCs w:val="21"/>
                <w:highlight w:val="yellow"/>
                <w:lang w:val="en-US" w:eastAsia="zh-CN"/>
              </w:rPr>
              <w:t>1</w:t>
            </w:r>
          </w:p>
        </w:tc>
      </w:tr>
      <w:tr w14:paraId="041006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5" w:hRule="atLeast"/>
        </w:trPr>
        <w:tc>
          <w:tcPr>
            <w:tcW w:w="680" w:type="dxa"/>
            <w:tcBorders>
              <w:top w:val="single" w:color="auto" w:sz="4" w:space="0"/>
              <w:bottom w:val="single" w:color="auto" w:sz="4" w:space="0"/>
            </w:tcBorders>
            <w:noWrap w:val="0"/>
            <w:vAlign w:val="center"/>
          </w:tcPr>
          <w:p w14:paraId="0618CF1E">
            <w:pPr>
              <w:pStyle w:val="29"/>
              <w:numPr>
                <w:ilvl w:val="0"/>
                <w:numId w:val="4"/>
              </w:numPr>
              <w:ind w:firstLineChars="0"/>
              <w:jc w:val="right"/>
              <w:rPr>
                <w:rFonts w:ascii="宋体" w:hAnsi="宋体" w:cs="宋体"/>
                <w:szCs w:val="21"/>
              </w:rPr>
            </w:pPr>
          </w:p>
        </w:tc>
        <w:tc>
          <w:tcPr>
            <w:tcW w:w="1202" w:type="dxa"/>
            <w:noWrap w:val="0"/>
            <w:vAlign w:val="center"/>
          </w:tcPr>
          <w:p w14:paraId="73BC3FC3">
            <w:pPr>
              <w:adjustRightInd w:val="0"/>
              <w:snapToGrid w:val="0"/>
              <w:spacing w:line="240" w:lineRule="atLeast"/>
              <w:jc w:val="center"/>
              <w:rPr>
                <w:rFonts w:ascii="宋体" w:hAnsi="宋体" w:cs="宋体"/>
                <w:kern w:val="0"/>
                <w:szCs w:val="21"/>
              </w:rPr>
            </w:pPr>
            <w:r>
              <w:rPr>
                <w:rFonts w:hint="eastAsia" w:ascii="宋体" w:hAnsi="宋体" w:cs="宋体"/>
                <w:szCs w:val="21"/>
              </w:rPr>
              <w:t>售后服务方案</w:t>
            </w:r>
          </w:p>
        </w:tc>
        <w:tc>
          <w:tcPr>
            <w:tcW w:w="6345" w:type="dxa"/>
            <w:noWrap w:val="0"/>
            <w:vAlign w:val="center"/>
          </w:tcPr>
          <w:p w14:paraId="0299CE50">
            <w:pPr>
              <w:pStyle w:val="5"/>
              <w:ind w:firstLine="0"/>
              <w:rPr>
                <w:rFonts w:ascii="宋体" w:hAnsi="宋体" w:cs="宋体"/>
              </w:rPr>
            </w:pPr>
            <w:r>
              <w:rPr>
                <w:rFonts w:hint="eastAsia" w:ascii="宋体" w:hAnsi="宋体" w:cs="宋体"/>
                <w:sz w:val="21"/>
                <w:szCs w:val="21"/>
              </w:rPr>
              <w:t>投标人需提供售后服务方案，包括但不限于：</w:t>
            </w:r>
          </w:p>
          <w:p w14:paraId="5EF2AE86">
            <w:pPr>
              <w:pStyle w:val="5"/>
              <w:ind w:firstLine="0"/>
              <w:rPr>
                <w:rFonts w:ascii="宋体" w:hAnsi="宋体" w:cs="宋体"/>
              </w:rPr>
            </w:pPr>
            <w:r>
              <w:rPr>
                <w:rFonts w:hint="eastAsia" w:ascii="宋体" w:hAnsi="宋体" w:cs="仿宋"/>
                <w:sz w:val="21"/>
                <w:szCs w:val="21"/>
              </w:rPr>
              <w:t>（1）</w:t>
            </w:r>
            <w:r>
              <w:rPr>
                <w:rFonts w:hint="eastAsia" w:ascii="宋体" w:hAnsi="宋体" w:cs="宋体"/>
                <w:sz w:val="21"/>
                <w:szCs w:val="21"/>
              </w:rPr>
              <w:t>售后服务机构及维护人员配置；</w:t>
            </w:r>
          </w:p>
          <w:p w14:paraId="7A0291B9">
            <w:pPr>
              <w:pStyle w:val="5"/>
              <w:ind w:firstLine="0"/>
              <w:rPr>
                <w:rFonts w:ascii="宋体" w:hAnsi="宋体" w:cs="宋体"/>
              </w:rPr>
            </w:pPr>
            <w:r>
              <w:rPr>
                <w:rFonts w:hint="eastAsia" w:ascii="宋体" w:hAnsi="宋体" w:cs="仿宋"/>
                <w:sz w:val="21"/>
                <w:szCs w:val="21"/>
              </w:rPr>
              <w:t>（2）</w:t>
            </w:r>
            <w:r>
              <w:rPr>
                <w:rFonts w:hint="eastAsia" w:ascii="宋体" w:hAnsi="宋体" w:cs="宋体"/>
                <w:sz w:val="21"/>
                <w:szCs w:val="21"/>
              </w:rPr>
              <w:t>保修期内的保修方案；</w:t>
            </w:r>
          </w:p>
          <w:p w14:paraId="63D17A10">
            <w:pPr>
              <w:pStyle w:val="5"/>
              <w:ind w:firstLine="0"/>
              <w:rPr>
                <w:rFonts w:ascii="宋体" w:hAnsi="宋体" w:cs="宋体"/>
              </w:rPr>
            </w:pPr>
            <w:r>
              <w:rPr>
                <w:rFonts w:hint="eastAsia" w:ascii="宋体" w:hAnsi="宋体" w:cs="仿宋"/>
                <w:sz w:val="21"/>
                <w:szCs w:val="21"/>
              </w:rPr>
              <w:t>（3）</w:t>
            </w:r>
            <w:r>
              <w:rPr>
                <w:rFonts w:hint="eastAsia" w:ascii="宋体" w:hAnsi="宋体" w:cs="宋体"/>
                <w:sz w:val="21"/>
                <w:szCs w:val="21"/>
              </w:rPr>
              <w:t>保修期外的维保方案；</w:t>
            </w:r>
          </w:p>
          <w:p w14:paraId="3AA2068E">
            <w:pPr>
              <w:pStyle w:val="5"/>
              <w:ind w:firstLine="0"/>
              <w:rPr>
                <w:rFonts w:ascii="宋体" w:hAnsi="宋体" w:cs="宋体"/>
              </w:rPr>
            </w:pPr>
            <w:r>
              <w:rPr>
                <w:rFonts w:hint="eastAsia" w:ascii="宋体" w:hAnsi="宋体" w:cs="宋体"/>
                <w:sz w:val="21"/>
                <w:szCs w:val="21"/>
              </w:rPr>
              <w:t>一、投标人提供上述3项内容得3分；</w:t>
            </w:r>
          </w:p>
          <w:p w14:paraId="5CD9E89A">
            <w:pPr>
              <w:pStyle w:val="5"/>
              <w:ind w:firstLine="0"/>
              <w:rPr>
                <w:rFonts w:ascii="宋体" w:hAnsi="宋体" w:cs="宋体"/>
              </w:rPr>
            </w:pPr>
            <w:r>
              <w:rPr>
                <w:rFonts w:hint="eastAsia" w:ascii="宋体" w:hAnsi="宋体" w:cs="宋体"/>
                <w:sz w:val="21"/>
                <w:szCs w:val="21"/>
              </w:rPr>
              <w:t>提供上述任意1-2项内容得1分；不提供不得分。</w:t>
            </w:r>
          </w:p>
          <w:p w14:paraId="6A398A57">
            <w:pPr>
              <w:pStyle w:val="5"/>
              <w:ind w:firstLine="0"/>
              <w:rPr>
                <w:rFonts w:ascii="宋体" w:hAnsi="宋体" w:cs="宋体"/>
              </w:rPr>
            </w:pPr>
            <w:r>
              <w:rPr>
                <w:rFonts w:hint="eastAsia" w:ascii="宋体" w:hAnsi="宋体" w:cs="宋体"/>
                <w:sz w:val="21"/>
                <w:szCs w:val="21"/>
              </w:rPr>
              <w:t>二、在此基础上，根据投标人的提供的内容按照量化的评审因素指标进一步评审：</w:t>
            </w:r>
          </w:p>
          <w:p w14:paraId="1D053553">
            <w:pPr>
              <w:pStyle w:val="5"/>
              <w:ind w:firstLine="0"/>
              <w:rPr>
                <w:rFonts w:ascii="宋体" w:hAnsi="宋体" w:cs="宋体"/>
              </w:rPr>
            </w:pPr>
            <w:r>
              <w:rPr>
                <w:rFonts w:hint="eastAsia" w:ascii="宋体" w:hAnsi="宋体" w:cs="仿宋"/>
                <w:sz w:val="21"/>
                <w:szCs w:val="21"/>
              </w:rPr>
              <w:t>（1）</w:t>
            </w:r>
            <w:r>
              <w:rPr>
                <w:rFonts w:hint="eastAsia" w:ascii="宋体" w:hAnsi="宋体" w:cs="宋体"/>
                <w:sz w:val="21"/>
                <w:szCs w:val="21"/>
              </w:rPr>
              <w:t>有服务热线、专业的维修人员、量化的响应时间；</w:t>
            </w:r>
          </w:p>
          <w:p w14:paraId="4BAA43CD">
            <w:pPr>
              <w:pStyle w:val="5"/>
              <w:ind w:firstLine="0"/>
              <w:rPr>
                <w:rFonts w:ascii="宋体" w:hAnsi="宋体" w:cs="宋体"/>
              </w:rPr>
            </w:pPr>
            <w:r>
              <w:rPr>
                <w:rFonts w:hint="eastAsia" w:ascii="宋体" w:hAnsi="宋体" w:cs="仿宋"/>
                <w:sz w:val="21"/>
                <w:szCs w:val="21"/>
              </w:rPr>
              <w:t>（2）</w:t>
            </w:r>
            <w:r>
              <w:rPr>
                <w:rFonts w:hint="eastAsia" w:ascii="宋体" w:hAnsi="宋体" w:cs="宋体"/>
                <w:sz w:val="21"/>
                <w:szCs w:val="21"/>
              </w:rPr>
              <w:t>对未能达到的要求有相关的处罚机制；</w:t>
            </w:r>
          </w:p>
          <w:p w14:paraId="5394627A">
            <w:pPr>
              <w:pStyle w:val="5"/>
              <w:ind w:firstLine="0"/>
              <w:rPr>
                <w:rFonts w:ascii="宋体" w:hAnsi="宋体" w:cs="宋体"/>
              </w:rPr>
            </w:pPr>
            <w:r>
              <w:rPr>
                <w:rFonts w:hint="eastAsia" w:ascii="宋体" w:hAnsi="宋体" w:cs="宋体"/>
                <w:sz w:val="21"/>
                <w:szCs w:val="21"/>
              </w:rPr>
              <w:t>每体现一点内容加1分，最多加</w:t>
            </w:r>
            <w:r>
              <w:rPr>
                <w:rFonts w:hint="eastAsia" w:ascii="宋体" w:hAnsi="宋体" w:cs="宋体"/>
                <w:sz w:val="21"/>
                <w:szCs w:val="21"/>
                <w:lang w:val="en-US" w:eastAsia="zh-CN"/>
              </w:rPr>
              <w:t>1</w:t>
            </w:r>
            <w:r>
              <w:rPr>
                <w:rFonts w:hint="eastAsia" w:ascii="宋体" w:hAnsi="宋体" w:cs="宋体"/>
                <w:sz w:val="21"/>
                <w:szCs w:val="21"/>
              </w:rPr>
              <w:t>分。</w:t>
            </w:r>
          </w:p>
        </w:tc>
        <w:tc>
          <w:tcPr>
            <w:tcW w:w="920" w:type="dxa"/>
            <w:noWrap w:val="0"/>
            <w:vAlign w:val="center"/>
          </w:tcPr>
          <w:p w14:paraId="53771947">
            <w:pPr>
              <w:jc w:val="center"/>
              <w:rPr>
                <w:rFonts w:hint="eastAsia" w:ascii="宋体" w:hAnsi="宋体" w:eastAsia="宋体" w:cs="宋体"/>
                <w:kern w:val="0"/>
                <w:szCs w:val="21"/>
                <w:lang w:eastAsia="zh-CN"/>
              </w:rPr>
            </w:pPr>
            <w:r>
              <w:rPr>
                <w:rFonts w:hint="eastAsia" w:ascii="宋体" w:hAnsi="宋体" w:cs="宋体"/>
                <w:kern w:val="0"/>
                <w:szCs w:val="21"/>
                <w:highlight w:val="yellow"/>
                <w:lang w:val="en-US" w:eastAsia="zh-CN"/>
              </w:rPr>
              <w:t>4</w:t>
            </w:r>
          </w:p>
        </w:tc>
      </w:tr>
      <w:tr w14:paraId="71A2DF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7" w:hRule="atLeast"/>
        </w:trPr>
        <w:tc>
          <w:tcPr>
            <w:tcW w:w="680" w:type="dxa"/>
            <w:tcBorders>
              <w:top w:val="single" w:color="auto" w:sz="4" w:space="0"/>
            </w:tcBorders>
            <w:noWrap w:val="0"/>
            <w:vAlign w:val="center"/>
          </w:tcPr>
          <w:p w14:paraId="7FC784B1">
            <w:pPr>
              <w:ind w:left="-78" w:leftChars="-37" w:right="-73" w:rightChars="-35"/>
              <w:jc w:val="center"/>
              <w:rPr>
                <w:rFonts w:ascii="宋体" w:hAnsi="宋体" w:cs="宋体"/>
                <w:b/>
                <w:szCs w:val="21"/>
              </w:rPr>
            </w:pPr>
            <w:r>
              <w:rPr>
                <w:rFonts w:hint="eastAsia" w:ascii="宋体" w:hAnsi="宋体" w:cs="宋体"/>
                <w:b/>
                <w:szCs w:val="21"/>
              </w:rPr>
              <w:t>二</w:t>
            </w:r>
          </w:p>
        </w:tc>
        <w:tc>
          <w:tcPr>
            <w:tcW w:w="8467" w:type="dxa"/>
            <w:gridSpan w:val="3"/>
            <w:noWrap w:val="0"/>
            <w:vAlign w:val="center"/>
          </w:tcPr>
          <w:p w14:paraId="7E4122A6">
            <w:pPr>
              <w:ind w:left="-78" w:leftChars="-37" w:right="-73" w:rightChars="-35"/>
              <w:jc w:val="center"/>
              <w:rPr>
                <w:rFonts w:ascii="宋体" w:hAnsi="宋体" w:cs="宋体"/>
                <w:b/>
                <w:szCs w:val="21"/>
              </w:rPr>
            </w:pPr>
            <w:r>
              <w:rPr>
                <w:rFonts w:hint="eastAsia" w:ascii="宋体" w:hAnsi="宋体" w:cs="宋体"/>
                <w:b/>
                <w:szCs w:val="21"/>
              </w:rPr>
              <w:t>商务部分（15分）</w:t>
            </w:r>
          </w:p>
        </w:tc>
      </w:tr>
      <w:tr w14:paraId="42CF45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bottom w:val="single" w:color="auto" w:sz="4" w:space="0"/>
            </w:tcBorders>
            <w:noWrap w:val="0"/>
            <w:vAlign w:val="center"/>
          </w:tcPr>
          <w:p w14:paraId="580D1113">
            <w:pPr>
              <w:pStyle w:val="29"/>
              <w:numPr>
                <w:ilvl w:val="0"/>
                <w:numId w:val="5"/>
              </w:numPr>
              <w:ind w:firstLineChars="0"/>
              <w:jc w:val="center"/>
              <w:rPr>
                <w:rFonts w:ascii="宋体" w:hAnsi="宋体" w:cs="宋体"/>
                <w:szCs w:val="21"/>
              </w:rPr>
            </w:pPr>
          </w:p>
        </w:tc>
        <w:tc>
          <w:tcPr>
            <w:tcW w:w="1202" w:type="dxa"/>
            <w:noWrap w:val="0"/>
            <w:vAlign w:val="center"/>
          </w:tcPr>
          <w:p w14:paraId="5435D633">
            <w:pPr>
              <w:wordWrap w:val="0"/>
              <w:jc w:val="center"/>
              <w:textAlignment w:val="top"/>
              <w:rPr>
                <w:rFonts w:ascii="宋体" w:hAnsi="宋体" w:cs="宋体"/>
                <w:szCs w:val="21"/>
              </w:rPr>
            </w:pPr>
            <w:r>
              <w:rPr>
                <w:rFonts w:hint="eastAsia" w:ascii="宋体" w:hAnsi="宋体" w:cs="宋体"/>
                <w:szCs w:val="21"/>
              </w:rPr>
              <w:t>商务条款偏离情况</w:t>
            </w:r>
          </w:p>
        </w:tc>
        <w:tc>
          <w:tcPr>
            <w:tcW w:w="6345" w:type="dxa"/>
            <w:noWrap w:val="0"/>
            <w:vAlign w:val="center"/>
          </w:tcPr>
          <w:p w14:paraId="639582B7">
            <w:pPr>
              <w:autoSpaceDE w:val="0"/>
              <w:autoSpaceDN w:val="0"/>
              <w:adjustRightInd w:val="0"/>
              <w:spacing w:line="360" w:lineRule="exact"/>
              <w:jc w:val="left"/>
              <w:rPr>
                <w:rFonts w:ascii="宋体" w:hAnsi="宋体" w:cs="仿宋"/>
                <w:szCs w:val="21"/>
              </w:rPr>
            </w:pPr>
            <w:r>
              <w:rPr>
                <w:rFonts w:hint="eastAsia" w:ascii="宋体" w:hAnsi="宋体" w:cs="仿宋"/>
                <w:szCs w:val="21"/>
              </w:rPr>
              <w:t>一、投标人自行承诺在满足采购文件的免费保修期前提下，每增加一年得1分，最高得2分。本小项最高得2分。【提供承诺函并加盖投标人公章，格式自拟】</w:t>
            </w:r>
          </w:p>
          <w:p w14:paraId="077DA7A3">
            <w:pPr>
              <w:adjustRightInd w:val="0"/>
              <w:snapToGrid w:val="0"/>
              <w:spacing w:line="240" w:lineRule="atLeast"/>
              <w:rPr>
                <w:rFonts w:ascii="宋体" w:hAnsi="宋体" w:cs="宋体"/>
                <w:szCs w:val="21"/>
              </w:rPr>
            </w:pPr>
            <w:r>
              <w:rPr>
                <w:rFonts w:hint="eastAsia" w:ascii="宋体" w:hAnsi="宋体" w:cs="仿宋"/>
                <w:szCs w:val="21"/>
              </w:rPr>
              <w:t>二、投标人应如实填写《商务条款偏离表》，评审委员会根据响应情况进行打分: 全部满足得10分，</w:t>
            </w:r>
            <w:r>
              <w:rPr>
                <w:rFonts w:hint="eastAsia" w:ascii="宋体" w:hAnsi="宋体" w:cs="仿宋"/>
                <w:color w:val="F79646"/>
                <w:szCs w:val="21"/>
              </w:rPr>
              <w:t>每负偏离一项扣1分。</w:t>
            </w:r>
          </w:p>
        </w:tc>
        <w:tc>
          <w:tcPr>
            <w:tcW w:w="920" w:type="dxa"/>
            <w:noWrap w:val="0"/>
            <w:vAlign w:val="center"/>
          </w:tcPr>
          <w:p w14:paraId="0A7D4A01">
            <w:pPr>
              <w:ind w:left="-78" w:leftChars="-37" w:right="-73" w:rightChars="-35"/>
              <w:jc w:val="center"/>
              <w:rPr>
                <w:rFonts w:ascii="宋体" w:hAnsi="宋体" w:cs="宋体"/>
                <w:szCs w:val="21"/>
              </w:rPr>
            </w:pPr>
            <w:r>
              <w:rPr>
                <w:rFonts w:hint="eastAsia" w:ascii="宋体" w:hAnsi="宋体" w:cs="宋体"/>
                <w:szCs w:val="21"/>
              </w:rPr>
              <w:t>12</w:t>
            </w:r>
          </w:p>
        </w:tc>
      </w:tr>
      <w:tr w14:paraId="6573A4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3" w:hRule="atLeast"/>
        </w:trPr>
        <w:tc>
          <w:tcPr>
            <w:tcW w:w="680" w:type="dxa"/>
            <w:tcBorders>
              <w:top w:val="single" w:color="auto" w:sz="4" w:space="0"/>
              <w:bottom w:val="single" w:color="auto" w:sz="4" w:space="0"/>
            </w:tcBorders>
            <w:noWrap w:val="0"/>
            <w:vAlign w:val="center"/>
          </w:tcPr>
          <w:p w14:paraId="4481E517">
            <w:pPr>
              <w:pStyle w:val="29"/>
              <w:numPr>
                <w:ilvl w:val="0"/>
                <w:numId w:val="5"/>
              </w:numPr>
              <w:ind w:firstLineChars="0"/>
              <w:jc w:val="center"/>
              <w:rPr>
                <w:rFonts w:ascii="宋体" w:hAnsi="宋体" w:cs="宋体"/>
                <w:szCs w:val="21"/>
              </w:rPr>
            </w:pPr>
          </w:p>
        </w:tc>
        <w:tc>
          <w:tcPr>
            <w:tcW w:w="1202" w:type="dxa"/>
            <w:noWrap w:val="0"/>
            <w:vAlign w:val="center"/>
          </w:tcPr>
          <w:p w14:paraId="3DB48AF4">
            <w:pPr>
              <w:wordWrap w:val="0"/>
              <w:jc w:val="center"/>
              <w:textAlignment w:val="top"/>
              <w:rPr>
                <w:rFonts w:ascii="宋体" w:hAnsi="宋体" w:cs="宋体"/>
                <w:szCs w:val="21"/>
              </w:rPr>
            </w:pPr>
            <w:r>
              <w:rPr>
                <w:rFonts w:hint="eastAsia" w:ascii="宋体" w:hAnsi="宋体" w:cs="宋体"/>
                <w:szCs w:val="21"/>
              </w:rPr>
              <w:t>同类业绩</w:t>
            </w:r>
          </w:p>
        </w:tc>
        <w:tc>
          <w:tcPr>
            <w:tcW w:w="6345" w:type="dxa"/>
            <w:noWrap w:val="0"/>
            <w:vAlign w:val="top"/>
          </w:tcPr>
          <w:p w14:paraId="4C831BD4">
            <w:pPr>
              <w:wordWrap w:val="0"/>
              <w:textAlignment w:val="top"/>
              <w:rPr>
                <w:rFonts w:ascii="宋体" w:hAnsi="宋体" w:cs="宋体"/>
                <w:color w:val="F79646"/>
                <w:szCs w:val="21"/>
              </w:rPr>
            </w:pPr>
            <w:r>
              <w:rPr>
                <w:rFonts w:hint="eastAsia" w:ascii="宋体" w:hAnsi="宋体" w:cs="宋体"/>
                <w:color w:val="F79646"/>
                <w:szCs w:val="21"/>
              </w:rPr>
              <w:t>一、评分内容：</w:t>
            </w:r>
          </w:p>
          <w:p w14:paraId="0FCB79AB">
            <w:pPr>
              <w:wordWrap w:val="0"/>
              <w:textAlignment w:val="top"/>
              <w:rPr>
                <w:rFonts w:ascii="宋体" w:hAnsi="宋体" w:cs="宋体"/>
                <w:color w:val="F79646"/>
                <w:szCs w:val="21"/>
              </w:rPr>
            </w:pPr>
            <w:r>
              <w:rPr>
                <w:rFonts w:hint="eastAsia" w:ascii="宋体" w:hAnsi="宋体" w:cs="宋体"/>
                <w:color w:val="F79646"/>
                <w:szCs w:val="21"/>
              </w:rPr>
              <w:t>投标人2022年1月1日至投标截止时间前具备同类业绩的（以发票或合同签订时间为准），每提供1项得1分，本项最高得3分，不提供不得分。</w:t>
            </w:r>
          </w:p>
          <w:p w14:paraId="4AAC19A6">
            <w:pPr>
              <w:wordWrap w:val="0"/>
              <w:textAlignment w:val="top"/>
              <w:rPr>
                <w:rFonts w:ascii="宋体" w:hAnsi="宋体" w:cs="宋体"/>
                <w:color w:val="F79646"/>
                <w:szCs w:val="21"/>
              </w:rPr>
            </w:pPr>
            <w:r>
              <w:rPr>
                <w:rFonts w:hint="eastAsia" w:ascii="宋体" w:hAnsi="宋体" w:cs="宋体"/>
                <w:color w:val="F79646"/>
                <w:szCs w:val="21"/>
              </w:rPr>
              <w:t>二、评分依据：</w:t>
            </w:r>
          </w:p>
          <w:p w14:paraId="1FA56495">
            <w:pPr>
              <w:wordWrap w:val="0"/>
              <w:textAlignment w:val="top"/>
              <w:rPr>
                <w:rFonts w:ascii="宋体" w:hAnsi="宋体" w:cs="宋体"/>
                <w:color w:val="F79646"/>
                <w:szCs w:val="21"/>
              </w:rPr>
            </w:pPr>
            <w:r>
              <w:rPr>
                <w:rFonts w:hint="eastAsia" w:ascii="宋体" w:hAnsi="宋体" w:cs="宋体"/>
                <w:color w:val="F79646"/>
                <w:szCs w:val="21"/>
              </w:rPr>
              <w:t>1.提供合同关键信息页证明文件</w:t>
            </w:r>
            <w:r>
              <w:rPr>
                <w:rFonts w:hint="eastAsia"/>
                <w:color w:val="F79646"/>
                <w:szCs w:val="21"/>
              </w:rPr>
              <w:t>（含签订合同双方的单位名称、合同项目名称与含签订合同双方的落款盖章、签订日期的关键页）</w:t>
            </w:r>
            <w:r>
              <w:rPr>
                <w:rFonts w:hint="eastAsia" w:ascii="宋体" w:hAnsi="宋体" w:cs="宋体"/>
                <w:color w:val="F79646"/>
                <w:szCs w:val="21"/>
              </w:rPr>
              <w:t>作为得分依据。</w:t>
            </w:r>
          </w:p>
          <w:p w14:paraId="2EC003FC">
            <w:pPr>
              <w:pStyle w:val="30"/>
              <w:rPr>
                <w:color w:val="F79646"/>
              </w:rPr>
            </w:pPr>
            <w:r>
              <w:rPr>
                <w:rFonts w:hint="eastAsia" w:ascii="宋体" w:hAnsi="宋体" w:cs="宋体"/>
                <w:bCs w:val="0"/>
                <w:color w:val="F79646"/>
                <w:sz w:val="21"/>
                <w:szCs w:val="21"/>
              </w:rPr>
              <w:t>2.提供发票或中标、成交通知书作为证明文件</w:t>
            </w:r>
          </w:p>
          <w:p w14:paraId="04FEB061">
            <w:pPr>
              <w:wordWrap w:val="0"/>
              <w:textAlignment w:val="top"/>
              <w:rPr>
                <w:rFonts w:ascii="宋体" w:hAnsi="宋体" w:cs="宋体"/>
                <w:color w:val="F79646"/>
                <w:szCs w:val="21"/>
              </w:rPr>
            </w:pPr>
            <w:r>
              <w:rPr>
                <w:rFonts w:hint="eastAsia" w:ascii="宋体" w:hAnsi="宋体" w:cs="宋体"/>
                <w:color w:val="F79646"/>
                <w:szCs w:val="21"/>
              </w:rPr>
              <w:t>3.通过合同关键信息页无法判断是否得分的，还须同时提供能证明得分的其他证明资料，如项目报告或合同甲方出具的证明文件等。</w:t>
            </w:r>
          </w:p>
          <w:p w14:paraId="76917E15">
            <w:pPr>
              <w:wordWrap w:val="0"/>
              <w:textAlignment w:val="top"/>
              <w:rPr>
                <w:rFonts w:ascii="宋体" w:hAnsi="宋体" w:cs="宋体"/>
                <w:szCs w:val="21"/>
              </w:rPr>
            </w:pPr>
            <w:r>
              <w:rPr>
                <w:rFonts w:hint="eastAsia" w:ascii="宋体" w:hAnsi="宋体" w:cs="宋体"/>
                <w:color w:val="F79646"/>
                <w:szCs w:val="21"/>
              </w:rPr>
              <w:t>4.以上资料均要求提供复印件。评分中出现无证明资料或专家无法凭所提供资料判断是否得分的情况，一律作不得分处理。</w:t>
            </w:r>
          </w:p>
        </w:tc>
        <w:tc>
          <w:tcPr>
            <w:tcW w:w="920" w:type="dxa"/>
            <w:noWrap w:val="0"/>
            <w:vAlign w:val="center"/>
          </w:tcPr>
          <w:p w14:paraId="6CC7FF03">
            <w:pPr>
              <w:ind w:left="-78" w:leftChars="-37" w:right="-73" w:rightChars="-35"/>
              <w:jc w:val="center"/>
              <w:rPr>
                <w:rFonts w:ascii="宋体" w:hAnsi="宋体" w:cs="宋体"/>
                <w:szCs w:val="21"/>
              </w:rPr>
            </w:pPr>
            <w:r>
              <w:rPr>
                <w:rFonts w:hint="eastAsia" w:ascii="宋体" w:hAnsi="宋体" w:cs="宋体"/>
                <w:szCs w:val="21"/>
              </w:rPr>
              <w:t>3</w:t>
            </w:r>
          </w:p>
        </w:tc>
      </w:tr>
      <w:tr w14:paraId="0E3869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7" w:hRule="atLeast"/>
        </w:trPr>
        <w:tc>
          <w:tcPr>
            <w:tcW w:w="680" w:type="dxa"/>
            <w:tcBorders>
              <w:top w:val="single" w:color="auto" w:sz="4" w:space="0"/>
            </w:tcBorders>
            <w:noWrap w:val="0"/>
            <w:vAlign w:val="center"/>
          </w:tcPr>
          <w:p w14:paraId="7B6FF5B3">
            <w:pPr>
              <w:jc w:val="center"/>
              <w:rPr>
                <w:rFonts w:ascii="宋体" w:hAnsi="宋体" w:cs="宋体"/>
                <w:b/>
                <w:szCs w:val="21"/>
              </w:rPr>
            </w:pPr>
            <w:r>
              <w:rPr>
                <w:rFonts w:hint="eastAsia" w:ascii="宋体" w:hAnsi="宋体" w:cs="宋体"/>
                <w:b/>
                <w:szCs w:val="21"/>
              </w:rPr>
              <w:t>三</w:t>
            </w:r>
          </w:p>
        </w:tc>
        <w:tc>
          <w:tcPr>
            <w:tcW w:w="8467" w:type="dxa"/>
            <w:gridSpan w:val="3"/>
            <w:noWrap w:val="0"/>
            <w:vAlign w:val="center"/>
          </w:tcPr>
          <w:p w14:paraId="71A4BDFA">
            <w:pPr>
              <w:ind w:left="-78" w:leftChars="-37" w:right="-73" w:rightChars="-35"/>
              <w:jc w:val="center"/>
              <w:rPr>
                <w:rFonts w:ascii="宋体" w:hAnsi="宋体" w:cs="宋体"/>
                <w:b/>
                <w:szCs w:val="21"/>
              </w:rPr>
            </w:pPr>
            <w:r>
              <w:rPr>
                <w:rFonts w:hint="eastAsia" w:ascii="宋体" w:hAnsi="宋体" w:cs="宋体"/>
                <w:b/>
                <w:szCs w:val="21"/>
              </w:rPr>
              <w:t>价格部分（30分）</w:t>
            </w:r>
          </w:p>
        </w:tc>
      </w:tr>
      <w:tr w14:paraId="0806E6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20" w:hRule="atLeast"/>
        </w:trPr>
        <w:tc>
          <w:tcPr>
            <w:tcW w:w="680" w:type="dxa"/>
            <w:noWrap w:val="0"/>
            <w:vAlign w:val="center"/>
          </w:tcPr>
          <w:p w14:paraId="0E5C8FC9">
            <w:pPr>
              <w:jc w:val="center"/>
              <w:rPr>
                <w:rFonts w:ascii="宋体" w:hAnsi="宋体" w:cs="宋体"/>
                <w:szCs w:val="21"/>
              </w:rPr>
            </w:pPr>
            <w:r>
              <w:rPr>
                <w:rFonts w:hint="eastAsia" w:ascii="宋体" w:hAnsi="宋体" w:cs="宋体"/>
                <w:szCs w:val="21"/>
              </w:rPr>
              <w:t>1</w:t>
            </w:r>
          </w:p>
        </w:tc>
        <w:tc>
          <w:tcPr>
            <w:tcW w:w="1202" w:type="dxa"/>
            <w:noWrap w:val="0"/>
            <w:vAlign w:val="center"/>
          </w:tcPr>
          <w:p w14:paraId="68399A08">
            <w:pPr>
              <w:jc w:val="center"/>
              <w:rPr>
                <w:rFonts w:ascii="宋体" w:hAnsi="宋体" w:cs="宋体"/>
                <w:szCs w:val="21"/>
              </w:rPr>
            </w:pPr>
            <w:r>
              <w:rPr>
                <w:rFonts w:hint="eastAsia" w:ascii="宋体" w:hAnsi="宋体" w:cs="宋体"/>
                <w:szCs w:val="21"/>
              </w:rPr>
              <w:t>投标报价</w:t>
            </w:r>
          </w:p>
        </w:tc>
        <w:tc>
          <w:tcPr>
            <w:tcW w:w="6345" w:type="dxa"/>
            <w:noWrap w:val="0"/>
            <w:vAlign w:val="center"/>
          </w:tcPr>
          <w:p w14:paraId="3D3CF4B5">
            <w:pPr>
              <w:autoSpaceDE w:val="0"/>
              <w:autoSpaceDN w:val="0"/>
              <w:adjustRightInd w:val="0"/>
              <w:snapToGrid w:val="0"/>
              <w:rPr>
                <w:rFonts w:ascii="宋体" w:hAnsi="宋体" w:cs="宋体"/>
                <w:kern w:val="0"/>
                <w:szCs w:val="21"/>
              </w:rPr>
            </w:pPr>
            <w:r>
              <w:rPr>
                <w:rFonts w:hint="eastAsia" w:ascii="宋体" w:hAnsi="宋体" w:cs="宋体"/>
                <w:kern w:val="0"/>
                <w:szCs w:val="21"/>
              </w:rPr>
              <w:t>价格分应当采用低价优先法计算，即满足招标文件要求且投标价格最低的投标报价为评标基准价，其价格分为满分。其他投标人的价格分统一按照下列公式计算：</w:t>
            </w:r>
          </w:p>
          <w:p w14:paraId="117F5AD8">
            <w:pPr>
              <w:widowControl/>
              <w:jc w:val="left"/>
              <w:rPr>
                <w:rFonts w:ascii="宋体" w:hAnsi="宋体" w:cs="宋体"/>
                <w:kern w:val="0"/>
                <w:szCs w:val="21"/>
              </w:rPr>
            </w:pPr>
            <w:r>
              <w:rPr>
                <w:rFonts w:hint="eastAsia" w:ascii="宋体" w:hAnsi="宋体" w:cs="宋体"/>
                <w:kern w:val="0"/>
                <w:szCs w:val="21"/>
              </w:rPr>
              <w:t>投标报价得分=(评标基准价／投标报价)×100×权重</w:t>
            </w:r>
          </w:p>
          <w:p w14:paraId="73F27FAC">
            <w:pPr>
              <w:widowControl/>
              <w:jc w:val="left"/>
              <w:rPr>
                <w:rFonts w:ascii="宋体" w:hAnsi="宋体" w:cs="宋体"/>
                <w:szCs w:val="21"/>
              </w:rPr>
            </w:pPr>
            <w:r>
              <w:rPr>
                <w:rFonts w:hint="eastAsia" w:ascii="宋体" w:hAnsi="宋体" w:cs="宋体"/>
                <w:szCs w:val="21"/>
              </w:rPr>
              <w:t>备注：</w:t>
            </w:r>
          </w:p>
          <w:p w14:paraId="11A69C71">
            <w:pPr>
              <w:widowControl/>
              <w:jc w:val="left"/>
              <w:rPr>
                <w:rFonts w:ascii="宋体" w:hAnsi="宋体" w:cs="宋体"/>
                <w:szCs w:val="21"/>
              </w:rPr>
            </w:pPr>
            <w:r>
              <w:rPr>
                <w:rFonts w:hint="eastAsia" w:ascii="宋体" w:hAnsi="宋体" w:cs="宋体"/>
                <w:szCs w:val="21"/>
              </w:rPr>
              <w:t>1、投标报价得分四舍五入后，小数点后保留两位有效数。</w:t>
            </w:r>
          </w:p>
          <w:p w14:paraId="34FDC53C">
            <w:pPr>
              <w:rPr>
                <w:rStyle w:val="20"/>
                <w:rFonts w:cs="宋体"/>
              </w:rPr>
            </w:pPr>
            <w:r>
              <w:rPr>
                <w:rStyle w:val="20"/>
                <w:rFonts w:hint="eastAsia" w:cs="宋体"/>
                <w:b/>
              </w:rPr>
              <w:t>2、因落实政府采购政策进行价格调整的，以调整后的价格计算评标基准价和投标报价，详见《价格扣除》。</w:t>
            </w:r>
          </w:p>
        </w:tc>
        <w:tc>
          <w:tcPr>
            <w:tcW w:w="920" w:type="dxa"/>
            <w:noWrap w:val="0"/>
            <w:vAlign w:val="center"/>
          </w:tcPr>
          <w:p w14:paraId="46E22306">
            <w:pPr>
              <w:ind w:left="-78" w:leftChars="-37" w:right="-73" w:rightChars="-35"/>
              <w:jc w:val="center"/>
              <w:rPr>
                <w:rFonts w:ascii="宋体" w:hAnsi="宋体" w:cs="宋体"/>
                <w:szCs w:val="21"/>
              </w:rPr>
            </w:pPr>
            <w:r>
              <w:rPr>
                <w:rFonts w:hint="eastAsia" w:ascii="宋体" w:hAnsi="宋体" w:cs="宋体"/>
                <w:szCs w:val="21"/>
              </w:rPr>
              <w:t>30</w:t>
            </w:r>
          </w:p>
        </w:tc>
      </w:tr>
      <w:tr w14:paraId="27175A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23" w:hRule="atLeast"/>
        </w:trPr>
        <w:tc>
          <w:tcPr>
            <w:tcW w:w="8227" w:type="dxa"/>
            <w:gridSpan w:val="3"/>
            <w:noWrap w:val="0"/>
            <w:vAlign w:val="center"/>
          </w:tcPr>
          <w:p w14:paraId="503ACD6F">
            <w:pPr>
              <w:ind w:left="-78" w:leftChars="-37" w:right="-73" w:rightChars="-35"/>
              <w:jc w:val="center"/>
              <w:rPr>
                <w:rFonts w:ascii="宋体" w:hAnsi="宋体" w:cs="宋体"/>
                <w:szCs w:val="21"/>
              </w:rPr>
            </w:pPr>
            <w:r>
              <w:rPr>
                <w:rFonts w:hint="eastAsia" w:ascii="宋体" w:hAnsi="宋体" w:cs="宋体"/>
                <w:szCs w:val="21"/>
              </w:rPr>
              <w:t>合计</w:t>
            </w:r>
          </w:p>
        </w:tc>
        <w:tc>
          <w:tcPr>
            <w:tcW w:w="920" w:type="dxa"/>
            <w:noWrap w:val="0"/>
            <w:vAlign w:val="center"/>
          </w:tcPr>
          <w:p w14:paraId="70356649">
            <w:pPr>
              <w:ind w:left="-78" w:leftChars="-37" w:right="-73" w:rightChars="-35"/>
              <w:jc w:val="center"/>
              <w:rPr>
                <w:rFonts w:ascii="宋体" w:hAnsi="宋体" w:cs="宋体"/>
                <w:szCs w:val="21"/>
              </w:rPr>
            </w:pPr>
            <w:r>
              <w:rPr>
                <w:rFonts w:hint="eastAsia" w:ascii="宋体" w:hAnsi="宋体" w:cs="宋体"/>
                <w:szCs w:val="21"/>
              </w:rPr>
              <w:t>100</w:t>
            </w:r>
          </w:p>
        </w:tc>
      </w:tr>
    </w:tbl>
    <w:p w14:paraId="6C6D0E4F">
      <w:pPr>
        <w:pStyle w:val="9"/>
      </w:pPr>
    </w:p>
    <w:p w14:paraId="67619BCF">
      <w:pPr>
        <w:pStyle w:val="9"/>
      </w:pPr>
    </w:p>
    <w:p w14:paraId="4668FBF1">
      <w:pPr>
        <w:pStyle w:val="9"/>
      </w:pPr>
    </w:p>
    <w:p w14:paraId="6ED16464">
      <w:pPr>
        <w:pStyle w:val="9"/>
      </w:pPr>
    </w:p>
    <w:p w14:paraId="21303EEE">
      <w:pPr>
        <w:pStyle w:val="9"/>
      </w:pPr>
    </w:p>
    <w:p w14:paraId="0C08947B">
      <w:pPr>
        <w:pStyle w:val="9"/>
      </w:pPr>
    </w:p>
    <w:p w14:paraId="1D4381D9">
      <w:pPr>
        <w:pStyle w:val="9"/>
      </w:pPr>
      <w:bookmarkStart w:id="0" w:name="_GoBack"/>
      <w:bookmarkEnd w:id="0"/>
    </w:p>
    <w:p w14:paraId="49D937C5">
      <w:pPr>
        <w:bidi w:val="0"/>
      </w:pPr>
    </w:p>
    <w:p w14:paraId="0F2D8ABF">
      <w:pPr>
        <w:bidi w:val="0"/>
      </w:pPr>
    </w:p>
    <w:p w14:paraId="501F1CA8">
      <w:pPr>
        <w:bidi w:val="0"/>
      </w:pPr>
    </w:p>
    <w:p w14:paraId="16877E0D">
      <w:pPr>
        <w:tabs>
          <w:tab w:val="left" w:pos="3770"/>
        </w:tabs>
        <w:bidi w:val="0"/>
        <w:jc w:val="left"/>
        <w:rPr>
          <w:rFonts w:hint="eastAsia"/>
          <w:lang w:eastAsia="zh-CN"/>
        </w:rPr>
      </w:pPr>
    </w:p>
    <w:p w14:paraId="4E19EF96">
      <w:pPr>
        <w:tabs>
          <w:tab w:val="left" w:pos="3770"/>
        </w:tabs>
        <w:bidi w:val="0"/>
        <w:jc w:val="left"/>
        <w:rPr>
          <w:rFonts w:hint="eastAsia"/>
          <w:lang w:eastAsia="zh-CN"/>
        </w:rPr>
      </w:pPr>
    </w:p>
    <w:p w14:paraId="5573B40D">
      <w:pPr>
        <w:tabs>
          <w:tab w:val="left" w:pos="3770"/>
        </w:tabs>
        <w:bidi w:val="0"/>
        <w:jc w:val="left"/>
        <w:rPr>
          <w:rFonts w:hint="eastAsia"/>
          <w:lang w:eastAsia="zh-CN"/>
        </w:rPr>
      </w:pPr>
    </w:p>
    <w:p w14:paraId="6FD7D909">
      <w:pPr>
        <w:pStyle w:val="9"/>
        <w:rPr>
          <w:rFonts w:hint="eastAsia"/>
          <w:lang w:eastAsia="zh-CN"/>
        </w:rPr>
      </w:pPr>
    </w:p>
    <w:p w14:paraId="00EF2BBC">
      <w:pPr>
        <w:pStyle w:val="9"/>
        <w:ind w:firstLine="4200" w:firstLineChars="1500"/>
        <w:rPr>
          <w:rFonts w:hint="eastAsia"/>
          <w:lang w:eastAsia="zh-CN"/>
        </w:rPr>
      </w:pPr>
      <w:r>
        <w:rPr>
          <w:rFonts w:hint="eastAsia"/>
          <w:lang w:val="en-US" w:eastAsia="zh-CN"/>
        </w:rPr>
        <w:t xml:space="preserve">  </w:t>
      </w:r>
    </w:p>
    <w:sectPr>
      <w:headerReference r:id="rId3" w:type="default"/>
      <w:footerReference r:id="rId4" w:type="default"/>
      <w:pgSz w:w="11906" w:h="16838"/>
      <w:pgMar w:top="1247" w:right="1133" w:bottom="1247" w:left="179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cript"/>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729200"/>
    </w:sdtPr>
    <w:sdtContent>
      <w:p w14:paraId="45922F02">
        <w:pPr>
          <w:pStyle w:val="10"/>
          <w:jc w:val="center"/>
        </w:pPr>
        <w:r>
          <w:fldChar w:fldCharType="begin"/>
        </w:r>
        <w:r>
          <w:instrText xml:space="preserve"> PAGE   \* MERGEFORMAT </w:instrText>
        </w:r>
        <w:r>
          <w:fldChar w:fldCharType="separate"/>
        </w:r>
        <w:r>
          <w:rPr>
            <w:lang w:val="zh-CN"/>
          </w:rPr>
          <w:t>7</w:t>
        </w:r>
        <w:r>
          <w:rPr>
            <w:lang w:val="zh-CN"/>
          </w:rPr>
          <w:fldChar w:fldCharType="end"/>
        </w:r>
      </w:p>
    </w:sdtContent>
  </w:sdt>
  <w:p w14:paraId="62FDD9C2">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6"/>
      <w:tblW w:w="0" w:type="auto"/>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6"/>
    </w:tblGrid>
    <w:tr w14:paraId="6C9B9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trPr>
      <w:tc>
        <w:tcPr>
          <w:tcW w:w="8976" w:type="dxa"/>
          <w:noWrap w:val="0"/>
          <w:vAlign w:val="top"/>
        </w:tcPr>
        <w:p w14:paraId="30C9BE22">
          <w:pPr>
            <w:pStyle w:val="11"/>
            <w:pBdr>
              <w:bottom w:val="none" w:color="auto" w:sz="0" w:space="0"/>
            </w:pBdr>
            <w:jc w:val="left"/>
            <w:rPr>
              <w:rFonts w:hint="eastAsia"/>
              <w:b/>
              <w:sz w:val="28"/>
            </w:rPr>
          </w:pPr>
          <w:r>
            <w:rPr>
              <w:rFonts w:hint="eastAsia"/>
              <w:b/>
              <w:sz w:val="28"/>
            </w:rPr>
            <w:t>科室民主管理小组每页签字：</w:t>
          </w:r>
        </w:p>
        <w:p w14:paraId="55335C82">
          <w:pPr>
            <w:pStyle w:val="11"/>
            <w:pBdr>
              <w:bottom w:val="none" w:color="auto" w:sz="0" w:space="0"/>
            </w:pBdr>
            <w:jc w:val="left"/>
            <w:rPr>
              <w:rFonts w:hint="eastAsia"/>
              <w:b/>
              <w:sz w:val="28"/>
            </w:rPr>
          </w:pPr>
        </w:p>
        <w:p w14:paraId="41C77867">
          <w:pPr>
            <w:pStyle w:val="11"/>
            <w:pBdr>
              <w:bottom w:val="none" w:color="auto" w:sz="0" w:space="0"/>
            </w:pBdr>
            <w:jc w:val="left"/>
            <w:rPr>
              <w:rFonts w:hint="eastAsia"/>
              <w:b/>
              <w:sz w:val="28"/>
            </w:rPr>
          </w:pPr>
        </w:p>
        <w:p w14:paraId="14AAC1DA">
          <w:pPr>
            <w:pStyle w:val="11"/>
            <w:pBdr>
              <w:bottom w:val="none" w:color="auto" w:sz="0" w:space="0"/>
            </w:pBdr>
            <w:jc w:val="left"/>
            <w:rPr>
              <w:b/>
            </w:rPr>
          </w:pPr>
          <w:r>
            <w:rPr>
              <w:rFonts w:hint="eastAsia"/>
              <w:b/>
              <w:sz w:val="28"/>
            </w:rPr>
            <w:t xml:space="preserve">                                          日期：</w:t>
          </w:r>
        </w:p>
      </w:tc>
    </w:tr>
  </w:tbl>
  <w:p w14:paraId="113E3FBF">
    <w:pPr>
      <w:pStyle w:val="1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294DEB"/>
    <w:multiLevelType w:val="multilevel"/>
    <w:tmpl w:val="16294DEB"/>
    <w:lvl w:ilvl="0" w:tentative="0">
      <w:start w:val="1"/>
      <w:numFmt w:val="decimal"/>
      <w:lvlText w:val="%1."/>
      <w:lvlJc w:val="left"/>
      <w:pPr>
        <w:tabs>
          <w:tab w:val="left" w:pos="425"/>
        </w:tabs>
        <w:ind w:left="425" w:hanging="425"/>
      </w:pPr>
      <w:rPr>
        <w:rFonts w:hint="default"/>
      </w:rPr>
    </w:lvl>
    <w:lvl w:ilvl="1" w:tentative="0">
      <w:start w:val="1"/>
      <w:numFmt w:val="decimal"/>
      <w:lvlText w:val="%1.%2."/>
      <w:lvlJc w:val="left"/>
      <w:pPr>
        <w:tabs>
          <w:tab w:val="left" w:pos="567"/>
        </w:tabs>
        <w:ind w:left="567" w:hanging="567"/>
      </w:pPr>
      <w:rPr>
        <w:rFonts w:hint="default" w:ascii="Times New Roman" w:hAnsi="Times New Roman" w:cs="Times New Roman"/>
      </w:rPr>
    </w:lvl>
    <w:lvl w:ilvl="2" w:tentative="0">
      <w:start w:val="1"/>
      <w:numFmt w:val="decimal"/>
      <w:lvlText w:val="%1.%2.%3."/>
      <w:lvlJc w:val="left"/>
      <w:pPr>
        <w:tabs>
          <w:tab w:val="left" w:pos="709"/>
        </w:tabs>
        <w:ind w:left="709" w:hanging="709"/>
      </w:pPr>
      <w:rPr>
        <w:rFonts w:hint="default" w:ascii="Times New Roman" w:hAnsi="Times New Roman" w:cs="Times New Roman"/>
      </w:rPr>
    </w:lvl>
    <w:lvl w:ilvl="3" w:tentative="0">
      <w:start w:val="1"/>
      <w:numFmt w:val="decimal"/>
      <w:lvlText w:val="%1.%2.%3.%4."/>
      <w:lvlJc w:val="left"/>
      <w:pPr>
        <w:tabs>
          <w:tab w:val="left" w:pos="851"/>
        </w:tabs>
        <w:ind w:left="851" w:hanging="851"/>
      </w:pPr>
      <w:rPr>
        <w:rFonts w:hint="default" w:ascii="Times New Roman" w:hAnsi="Times New Roman" w:cs="Times New Roman"/>
      </w:rPr>
    </w:lvl>
    <w:lvl w:ilvl="4" w:tentative="0">
      <w:start w:val="1"/>
      <w:numFmt w:val="decimal"/>
      <w:lvlText w:val="%1.%2.%3.%4.%5."/>
      <w:lvlJc w:val="left"/>
      <w:pPr>
        <w:tabs>
          <w:tab w:val="left" w:pos="992"/>
        </w:tabs>
        <w:ind w:left="992" w:hanging="992"/>
      </w:pPr>
      <w:rPr>
        <w:rFonts w:hint="default" w:ascii="Times New Roman" w:hAnsi="Times New Roman" w:cs="Times New Roman"/>
      </w:rPr>
    </w:lvl>
    <w:lvl w:ilvl="5" w:tentative="0">
      <w:start w:val="1"/>
      <w:numFmt w:val="decimal"/>
      <w:lvlText w:val="%1.%2.%3.%4.%5.%6."/>
      <w:lvlJc w:val="left"/>
      <w:pPr>
        <w:tabs>
          <w:tab w:val="left" w:pos="1134"/>
        </w:tabs>
        <w:ind w:left="1134" w:hanging="1134"/>
      </w:pPr>
      <w:rPr>
        <w:rFonts w:hint="default" w:ascii="Times New Roman" w:hAnsi="Times New Roman" w:cs="Times New Roman"/>
      </w:rPr>
    </w:lvl>
    <w:lvl w:ilvl="6" w:tentative="0">
      <w:start w:val="1"/>
      <w:numFmt w:val="decimal"/>
      <w:lvlText w:val="%1.%2.%3.%4.%5.%6.%7."/>
      <w:lvlJc w:val="left"/>
      <w:pPr>
        <w:tabs>
          <w:tab w:val="left" w:pos="1276"/>
        </w:tabs>
        <w:ind w:left="1276" w:hanging="1276"/>
      </w:pPr>
      <w:rPr>
        <w:rFonts w:hint="default" w:ascii="Times New Roman" w:hAnsi="Times New Roman" w:cs="Times New Roman"/>
      </w:rPr>
    </w:lvl>
    <w:lvl w:ilvl="7" w:tentative="0">
      <w:start w:val="1"/>
      <w:numFmt w:val="decimal"/>
      <w:lvlText w:val="%1.%2.%3.%4.%5.%6.%7.%8."/>
      <w:lvlJc w:val="left"/>
      <w:pPr>
        <w:tabs>
          <w:tab w:val="left" w:pos="1418"/>
        </w:tabs>
        <w:ind w:left="1418" w:hanging="1418"/>
      </w:pPr>
      <w:rPr>
        <w:rFonts w:hint="default" w:ascii="Times New Roman" w:hAnsi="Times New Roman" w:cs="Times New Roman"/>
      </w:rPr>
    </w:lvl>
    <w:lvl w:ilvl="8" w:tentative="0">
      <w:start w:val="1"/>
      <w:numFmt w:val="decimal"/>
      <w:lvlText w:val="%1.%2.%3.%4.%5.%6.%7.%8.%9."/>
      <w:lvlJc w:val="left"/>
      <w:pPr>
        <w:tabs>
          <w:tab w:val="left" w:pos="1559"/>
        </w:tabs>
        <w:ind w:left="1559" w:hanging="1559"/>
      </w:pPr>
      <w:rPr>
        <w:rFonts w:hint="default" w:ascii="Times New Roman" w:hAnsi="Times New Roman" w:cs="Times New Roman"/>
      </w:rPr>
    </w:lvl>
  </w:abstractNum>
  <w:abstractNum w:abstractNumId="1">
    <w:nsid w:val="1CF63C98"/>
    <w:multiLevelType w:val="multilevel"/>
    <w:tmpl w:val="1CF63C98"/>
    <w:lvl w:ilvl="0" w:tentative="0">
      <w:start w:val="1"/>
      <w:numFmt w:val="decimal"/>
      <w:lvlText w:val="%1)"/>
      <w:lvlJc w:val="left"/>
      <w:pPr>
        <w:tabs>
          <w:tab w:val="left" w:pos="840"/>
        </w:tabs>
        <w:ind w:left="840" w:hanging="420"/>
      </w:pPr>
      <w:rPr>
        <w:rFonts w:hint="default"/>
      </w:rPr>
    </w:lvl>
    <w:lvl w:ilvl="1" w:tentative="0">
      <w:start w:val="1"/>
      <w:numFmt w:val="lowerLetter"/>
      <w:lvlText w:val="%2)"/>
      <w:lvlJc w:val="left"/>
      <w:pPr>
        <w:tabs>
          <w:tab w:val="left" w:pos="1260"/>
        </w:tabs>
        <w:ind w:left="1260" w:hanging="420"/>
      </w:pPr>
      <w:rPr>
        <w:rFonts w:hint="default" w:ascii="Times New Roman" w:hAnsi="Times New Roman" w:cs="Times New Roman"/>
      </w:rPr>
    </w:lvl>
    <w:lvl w:ilvl="2" w:tentative="0">
      <w:start w:val="1"/>
      <w:numFmt w:val="lowerRoman"/>
      <w:lvlText w:val="%3."/>
      <w:lvlJc w:val="right"/>
      <w:pPr>
        <w:tabs>
          <w:tab w:val="left" w:pos="1680"/>
        </w:tabs>
        <w:ind w:left="1680" w:hanging="420"/>
      </w:pPr>
      <w:rPr>
        <w:rFonts w:hint="default" w:ascii="Times New Roman" w:hAnsi="Times New Roman" w:cs="Times New Roman"/>
      </w:rPr>
    </w:lvl>
    <w:lvl w:ilvl="3" w:tentative="0">
      <w:start w:val="1"/>
      <w:numFmt w:val="decimal"/>
      <w:lvlText w:val="%4."/>
      <w:lvlJc w:val="left"/>
      <w:pPr>
        <w:tabs>
          <w:tab w:val="left" w:pos="2100"/>
        </w:tabs>
        <w:ind w:left="2100" w:hanging="420"/>
      </w:pPr>
      <w:rPr>
        <w:rFonts w:hint="default" w:ascii="Times New Roman" w:hAnsi="Times New Roman" w:cs="Times New Roman"/>
      </w:rPr>
    </w:lvl>
    <w:lvl w:ilvl="4" w:tentative="0">
      <w:start w:val="1"/>
      <w:numFmt w:val="lowerLetter"/>
      <w:lvlText w:val="%5)"/>
      <w:lvlJc w:val="left"/>
      <w:pPr>
        <w:tabs>
          <w:tab w:val="left" w:pos="2520"/>
        </w:tabs>
        <w:ind w:left="2520" w:hanging="420"/>
      </w:pPr>
      <w:rPr>
        <w:rFonts w:hint="default" w:ascii="Times New Roman" w:hAnsi="Times New Roman" w:cs="Times New Roman"/>
      </w:rPr>
    </w:lvl>
    <w:lvl w:ilvl="5" w:tentative="0">
      <w:start w:val="1"/>
      <w:numFmt w:val="lowerRoman"/>
      <w:lvlText w:val="%6."/>
      <w:lvlJc w:val="right"/>
      <w:pPr>
        <w:tabs>
          <w:tab w:val="left" w:pos="2940"/>
        </w:tabs>
        <w:ind w:left="2940" w:hanging="420"/>
      </w:pPr>
      <w:rPr>
        <w:rFonts w:hint="default" w:ascii="Times New Roman" w:hAnsi="Times New Roman" w:cs="Times New Roman"/>
      </w:rPr>
    </w:lvl>
    <w:lvl w:ilvl="6" w:tentative="0">
      <w:start w:val="1"/>
      <w:numFmt w:val="decimal"/>
      <w:lvlText w:val="%7."/>
      <w:lvlJc w:val="left"/>
      <w:pPr>
        <w:tabs>
          <w:tab w:val="left" w:pos="3360"/>
        </w:tabs>
        <w:ind w:left="3360" w:hanging="420"/>
      </w:pPr>
      <w:rPr>
        <w:rFonts w:hint="default" w:ascii="Times New Roman" w:hAnsi="Times New Roman" w:cs="Times New Roman"/>
      </w:rPr>
    </w:lvl>
    <w:lvl w:ilvl="7" w:tentative="0">
      <w:start w:val="1"/>
      <w:numFmt w:val="lowerLetter"/>
      <w:lvlText w:val="%8)"/>
      <w:lvlJc w:val="left"/>
      <w:pPr>
        <w:tabs>
          <w:tab w:val="left" w:pos="3780"/>
        </w:tabs>
        <w:ind w:left="3780" w:hanging="420"/>
      </w:pPr>
      <w:rPr>
        <w:rFonts w:hint="default" w:ascii="Times New Roman" w:hAnsi="Times New Roman" w:cs="Times New Roman"/>
      </w:rPr>
    </w:lvl>
    <w:lvl w:ilvl="8" w:tentative="0">
      <w:start w:val="1"/>
      <w:numFmt w:val="lowerRoman"/>
      <w:lvlText w:val="%9."/>
      <w:lvlJc w:val="right"/>
      <w:pPr>
        <w:tabs>
          <w:tab w:val="left" w:pos="4200"/>
        </w:tabs>
        <w:ind w:left="4200" w:hanging="420"/>
      </w:pPr>
      <w:rPr>
        <w:rFonts w:hint="default" w:ascii="Times New Roman" w:hAnsi="Times New Roman" w:cs="Times New Roman"/>
      </w:rPr>
    </w:lvl>
  </w:abstractNum>
  <w:abstractNum w:abstractNumId="2">
    <w:nsid w:val="24714A5A"/>
    <w:multiLevelType w:val="multilevel"/>
    <w:tmpl w:val="24714A5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1623B4C"/>
    <w:multiLevelType w:val="multilevel"/>
    <w:tmpl w:val="61623B4C"/>
    <w:lvl w:ilvl="0" w:tentative="0">
      <w:start w:val="1"/>
      <w:numFmt w:val="decimal"/>
      <w:lvlText w:val="%1)"/>
      <w:lvlJc w:val="left"/>
      <w:pPr>
        <w:tabs>
          <w:tab w:val="left" w:pos="840"/>
        </w:tabs>
        <w:ind w:left="840" w:hanging="420"/>
      </w:pPr>
      <w:rPr>
        <w:rFonts w:hint="default"/>
      </w:rPr>
    </w:lvl>
    <w:lvl w:ilvl="1" w:tentative="0">
      <w:start w:val="1"/>
      <w:numFmt w:val="lowerLetter"/>
      <w:lvlText w:val="%2)"/>
      <w:lvlJc w:val="left"/>
      <w:pPr>
        <w:tabs>
          <w:tab w:val="left" w:pos="1260"/>
        </w:tabs>
        <w:ind w:left="1260" w:hanging="420"/>
      </w:pPr>
      <w:rPr>
        <w:rFonts w:hint="default" w:ascii="Times New Roman" w:hAnsi="Times New Roman" w:cs="Times New Roman"/>
      </w:rPr>
    </w:lvl>
    <w:lvl w:ilvl="2" w:tentative="0">
      <w:start w:val="1"/>
      <w:numFmt w:val="lowerRoman"/>
      <w:lvlText w:val="%3."/>
      <w:lvlJc w:val="right"/>
      <w:pPr>
        <w:tabs>
          <w:tab w:val="left" w:pos="1680"/>
        </w:tabs>
        <w:ind w:left="1680" w:hanging="420"/>
      </w:pPr>
      <w:rPr>
        <w:rFonts w:hint="default" w:ascii="Times New Roman" w:hAnsi="Times New Roman" w:cs="Times New Roman"/>
      </w:rPr>
    </w:lvl>
    <w:lvl w:ilvl="3" w:tentative="0">
      <w:start w:val="1"/>
      <w:numFmt w:val="decimal"/>
      <w:lvlText w:val="%4."/>
      <w:lvlJc w:val="left"/>
      <w:pPr>
        <w:tabs>
          <w:tab w:val="left" w:pos="2100"/>
        </w:tabs>
        <w:ind w:left="2100" w:hanging="420"/>
      </w:pPr>
      <w:rPr>
        <w:rFonts w:hint="default" w:ascii="Times New Roman" w:hAnsi="Times New Roman" w:cs="Times New Roman"/>
      </w:rPr>
    </w:lvl>
    <w:lvl w:ilvl="4" w:tentative="0">
      <w:start w:val="1"/>
      <w:numFmt w:val="lowerLetter"/>
      <w:lvlText w:val="%5)"/>
      <w:lvlJc w:val="left"/>
      <w:pPr>
        <w:tabs>
          <w:tab w:val="left" w:pos="2520"/>
        </w:tabs>
        <w:ind w:left="2520" w:hanging="420"/>
      </w:pPr>
      <w:rPr>
        <w:rFonts w:hint="default" w:ascii="Times New Roman" w:hAnsi="Times New Roman" w:cs="Times New Roman"/>
      </w:rPr>
    </w:lvl>
    <w:lvl w:ilvl="5" w:tentative="0">
      <w:start w:val="1"/>
      <w:numFmt w:val="lowerRoman"/>
      <w:lvlText w:val="%6."/>
      <w:lvlJc w:val="right"/>
      <w:pPr>
        <w:tabs>
          <w:tab w:val="left" w:pos="2940"/>
        </w:tabs>
        <w:ind w:left="2940" w:hanging="420"/>
      </w:pPr>
      <w:rPr>
        <w:rFonts w:hint="default" w:ascii="Times New Roman" w:hAnsi="Times New Roman" w:cs="Times New Roman"/>
      </w:rPr>
    </w:lvl>
    <w:lvl w:ilvl="6" w:tentative="0">
      <w:start w:val="1"/>
      <w:numFmt w:val="decimal"/>
      <w:lvlText w:val="%7."/>
      <w:lvlJc w:val="left"/>
      <w:pPr>
        <w:tabs>
          <w:tab w:val="left" w:pos="3360"/>
        </w:tabs>
        <w:ind w:left="3360" w:hanging="420"/>
      </w:pPr>
      <w:rPr>
        <w:rFonts w:hint="default" w:ascii="Times New Roman" w:hAnsi="Times New Roman" w:cs="Times New Roman"/>
      </w:rPr>
    </w:lvl>
    <w:lvl w:ilvl="7" w:tentative="0">
      <w:start w:val="1"/>
      <w:numFmt w:val="lowerLetter"/>
      <w:lvlText w:val="%8)"/>
      <w:lvlJc w:val="left"/>
      <w:pPr>
        <w:tabs>
          <w:tab w:val="left" w:pos="3780"/>
        </w:tabs>
        <w:ind w:left="3780" w:hanging="420"/>
      </w:pPr>
      <w:rPr>
        <w:rFonts w:hint="default" w:ascii="Times New Roman" w:hAnsi="Times New Roman" w:cs="Times New Roman"/>
      </w:rPr>
    </w:lvl>
    <w:lvl w:ilvl="8" w:tentative="0">
      <w:start w:val="1"/>
      <w:numFmt w:val="lowerRoman"/>
      <w:lvlText w:val="%9."/>
      <w:lvlJc w:val="right"/>
      <w:pPr>
        <w:tabs>
          <w:tab w:val="left" w:pos="4200"/>
        </w:tabs>
        <w:ind w:left="4200" w:hanging="420"/>
      </w:pPr>
      <w:rPr>
        <w:rFonts w:hint="default" w:ascii="Times New Roman" w:hAnsi="Times New Roman" w:cs="Times New Roman"/>
      </w:rPr>
    </w:lvl>
  </w:abstractNum>
  <w:abstractNum w:abstractNumId="4">
    <w:nsid w:val="7C2D25F0"/>
    <w:multiLevelType w:val="multilevel"/>
    <w:tmpl w:val="7C2D25F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MzZjUzOTFmMWYzNjcwMGFlNzM0ZWY5ZDc1Y2Y4NzEifQ=="/>
  </w:docVars>
  <w:rsids>
    <w:rsidRoot w:val="00172A27"/>
    <w:rsid w:val="00172A27"/>
    <w:rsid w:val="001A25EB"/>
    <w:rsid w:val="002E0B29"/>
    <w:rsid w:val="00325B4E"/>
    <w:rsid w:val="003B1DCD"/>
    <w:rsid w:val="003E5433"/>
    <w:rsid w:val="00413989"/>
    <w:rsid w:val="004B53DC"/>
    <w:rsid w:val="00553EFE"/>
    <w:rsid w:val="005E1F3C"/>
    <w:rsid w:val="005E2CE0"/>
    <w:rsid w:val="005E3207"/>
    <w:rsid w:val="005E73F3"/>
    <w:rsid w:val="00613347"/>
    <w:rsid w:val="00641368"/>
    <w:rsid w:val="00692A53"/>
    <w:rsid w:val="006A0829"/>
    <w:rsid w:val="007030BF"/>
    <w:rsid w:val="007622EC"/>
    <w:rsid w:val="007738D3"/>
    <w:rsid w:val="007F5D55"/>
    <w:rsid w:val="008620AC"/>
    <w:rsid w:val="008D00B2"/>
    <w:rsid w:val="008E7C61"/>
    <w:rsid w:val="009E1785"/>
    <w:rsid w:val="009F790F"/>
    <w:rsid w:val="00B35838"/>
    <w:rsid w:val="00DF4236"/>
    <w:rsid w:val="00E83052"/>
    <w:rsid w:val="00E967E2"/>
    <w:rsid w:val="00E96B89"/>
    <w:rsid w:val="00EE206A"/>
    <w:rsid w:val="00F035C8"/>
    <w:rsid w:val="00FA432C"/>
    <w:rsid w:val="011B32E0"/>
    <w:rsid w:val="01DE34BB"/>
    <w:rsid w:val="031A4A53"/>
    <w:rsid w:val="040F7B39"/>
    <w:rsid w:val="051D75E1"/>
    <w:rsid w:val="05273E70"/>
    <w:rsid w:val="05921E22"/>
    <w:rsid w:val="05DE6423"/>
    <w:rsid w:val="067708FD"/>
    <w:rsid w:val="06BE39D9"/>
    <w:rsid w:val="0704485D"/>
    <w:rsid w:val="072B60D8"/>
    <w:rsid w:val="07A02679"/>
    <w:rsid w:val="07B915AC"/>
    <w:rsid w:val="07C178CB"/>
    <w:rsid w:val="082F6A38"/>
    <w:rsid w:val="09EF6784"/>
    <w:rsid w:val="0B6A64D6"/>
    <w:rsid w:val="0BAE3A46"/>
    <w:rsid w:val="0D280BCD"/>
    <w:rsid w:val="0D893C76"/>
    <w:rsid w:val="0DED5ABC"/>
    <w:rsid w:val="0F6872F4"/>
    <w:rsid w:val="0FDF3497"/>
    <w:rsid w:val="0FFF53C6"/>
    <w:rsid w:val="10262412"/>
    <w:rsid w:val="108D0175"/>
    <w:rsid w:val="10F373B4"/>
    <w:rsid w:val="110474D6"/>
    <w:rsid w:val="11237D7F"/>
    <w:rsid w:val="1187303D"/>
    <w:rsid w:val="119809CA"/>
    <w:rsid w:val="12331AC2"/>
    <w:rsid w:val="12B80323"/>
    <w:rsid w:val="13052443"/>
    <w:rsid w:val="132D5E57"/>
    <w:rsid w:val="13886434"/>
    <w:rsid w:val="145002FA"/>
    <w:rsid w:val="15990E90"/>
    <w:rsid w:val="15B10891"/>
    <w:rsid w:val="167E1274"/>
    <w:rsid w:val="16A97510"/>
    <w:rsid w:val="17714346"/>
    <w:rsid w:val="18CE3099"/>
    <w:rsid w:val="191E3DD6"/>
    <w:rsid w:val="19685B09"/>
    <w:rsid w:val="1A3100CD"/>
    <w:rsid w:val="1A5737E1"/>
    <w:rsid w:val="1A9D002E"/>
    <w:rsid w:val="1B49208B"/>
    <w:rsid w:val="1D1A560A"/>
    <w:rsid w:val="1D4569B7"/>
    <w:rsid w:val="1ECC2689"/>
    <w:rsid w:val="1ED3069A"/>
    <w:rsid w:val="1FC21AF3"/>
    <w:rsid w:val="201B0077"/>
    <w:rsid w:val="20926CAB"/>
    <w:rsid w:val="20BD5F9F"/>
    <w:rsid w:val="21C319BD"/>
    <w:rsid w:val="225E5CFF"/>
    <w:rsid w:val="228322EA"/>
    <w:rsid w:val="22FF23D3"/>
    <w:rsid w:val="238D0D1F"/>
    <w:rsid w:val="248A5117"/>
    <w:rsid w:val="24A872D3"/>
    <w:rsid w:val="2577413D"/>
    <w:rsid w:val="25B916D0"/>
    <w:rsid w:val="25CE197B"/>
    <w:rsid w:val="25EF6C54"/>
    <w:rsid w:val="267274AD"/>
    <w:rsid w:val="284F0D34"/>
    <w:rsid w:val="28750DBE"/>
    <w:rsid w:val="28F87B6B"/>
    <w:rsid w:val="29295EFB"/>
    <w:rsid w:val="29F05E17"/>
    <w:rsid w:val="2D834187"/>
    <w:rsid w:val="2D842E64"/>
    <w:rsid w:val="2D884E7D"/>
    <w:rsid w:val="2ED75B7E"/>
    <w:rsid w:val="30204B81"/>
    <w:rsid w:val="30724EC2"/>
    <w:rsid w:val="31EC2DB8"/>
    <w:rsid w:val="31F05FB9"/>
    <w:rsid w:val="328E2D0D"/>
    <w:rsid w:val="32F3562F"/>
    <w:rsid w:val="33824F75"/>
    <w:rsid w:val="33C15212"/>
    <w:rsid w:val="34733E19"/>
    <w:rsid w:val="347B44CF"/>
    <w:rsid w:val="34F26A38"/>
    <w:rsid w:val="361F082C"/>
    <w:rsid w:val="362B1B69"/>
    <w:rsid w:val="36975EA1"/>
    <w:rsid w:val="39B27C7F"/>
    <w:rsid w:val="3A496DE5"/>
    <w:rsid w:val="3A8974B4"/>
    <w:rsid w:val="3AD51E3B"/>
    <w:rsid w:val="3D663042"/>
    <w:rsid w:val="3EB05C6A"/>
    <w:rsid w:val="3F51298B"/>
    <w:rsid w:val="3FED5BEA"/>
    <w:rsid w:val="4034507A"/>
    <w:rsid w:val="417F5F74"/>
    <w:rsid w:val="41951E3B"/>
    <w:rsid w:val="425222CB"/>
    <w:rsid w:val="428E5704"/>
    <w:rsid w:val="432B1AFF"/>
    <w:rsid w:val="438B3E46"/>
    <w:rsid w:val="43D04E85"/>
    <w:rsid w:val="44EB5754"/>
    <w:rsid w:val="45114517"/>
    <w:rsid w:val="4521010E"/>
    <w:rsid w:val="457E2DDA"/>
    <w:rsid w:val="45AF5D1B"/>
    <w:rsid w:val="45CB30E5"/>
    <w:rsid w:val="460436B8"/>
    <w:rsid w:val="462E3AEE"/>
    <w:rsid w:val="471C1984"/>
    <w:rsid w:val="47C25C55"/>
    <w:rsid w:val="480666C9"/>
    <w:rsid w:val="483372FA"/>
    <w:rsid w:val="486A31E5"/>
    <w:rsid w:val="48F23EB0"/>
    <w:rsid w:val="4A81797A"/>
    <w:rsid w:val="4AF52F9F"/>
    <w:rsid w:val="4AFA62C1"/>
    <w:rsid w:val="4B963383"/>
    <w:rsid w:val="4D277108"/>
    <w:rsid w:val="4D58766E"/>
    <w:rsid w:val="4DAD7A1C"/>
    <w:rsid w:val="4DB27C98"/>
    <w:rsid w:val="4E5E07AB"/>
    <w:rsid w:val="4E7B2EA1"/>
    <w:rsid w:val="4EEC5645"/>
    <w:rsid w:val="4EFC6082"/>
    <w:rsid w:val="4F2933E6"/>
    <w:rsid w:val="4F3A2C72"/>
    <w:rsid w:val="4F4F44DD"/>
    <w:rsid w:val="4F8427E5"/>
    <w:rsid w:val="4FBE7663"/>
    <w:rsid w:val="5029012B"/>
    <w:rsid w:val="505F396D"/>
    <w:rsid w:val="50750359"/>
    <w:rsid w:val="513A1B77"/>
    <w:rsid w:val="5154733A"/>
    <w:rsid w:val="51AC5958"/>
    <w:rsid w:val="52026987"/>
    <w:rsid w:val="524E55B4"/>
    <w:rsid w:val="52B6146D"/>
    <w:rsid w:val="5353260B"/>
    <w:rsid w:val="53A45B7E"/>
    <w:rsid w:val="54144196"/>
    <w:rsid w:val="5445094C"/>
    <w:rsid w:val="5478492E"/>
    <w:rsid w:val="55B15E93"/>
    <w:rsid w:val="56AE15B9"/>
    <w:rsid w:val="57E1285D"/>
    <w:rsid w:val="587432E0"/>
    <w:rsid w:val="596F6AE7"/>
    <w:rsid w:val="5AC26BB2"/>
    <w:rsid w:val="5ACC7971"/>
    <w:rsid w:val="5B512602"/>
    <w:rsid w:val="5B841EB1"/>
    <w:rsid w:val="5BD624E4"/>
    <w:rsid w:val="5C14628F"/>
    <w:rsid w:val="5D083B1C"/>
    <w:rsid w:val="5D35266F"/>
    <w:rsid w:val="5DC77AA6"/>
    <w:rsid w:val="5FB74208"/>
    <w:rsid w:val="60414555"/>
    <w:rsid w:val="6175217B"/>
    <w:rsid w:val="61EE4EB3"/>
    <w:rsid w:val="623A09E6"/>
    <w:rsid w:val="630E2FDF"/>
    <w:rsid w:val="633B6E7C"/>
    <w:rsid w:val="638F148F"/>
    <w:rsid w:val="63AB183E"/>
    <w:rsid w:val="64914DC6"/>
    <w:rsid w:val="65F35668"/>
    <w:rsid w:val="66225EEA"/>
    <w:rsid w:val="667759E5"/>
    <w:rsid w:val="669C21BA"/>
    <w:rsid w:val="674B3506"/>
    <w:rsid w:val="68813010"/>
    <w:rsid w:val="69287E45"/>
    <w:rsid w:val="6936551A"/>
    <w:rsid w:val="69C529E7"/>
    <w:rsid w:val="6A510C3C"/>
    <w:rsid w:val="6A7503C8"/>
    <w:rsid w:val="6AC00587"/>
    <w:rsid w:val="6B1D67E7"/>
    <w:rsid w:val="6B3E761B"/>
    <w:rsid w:val="6B891918"/>
    <w:rsid w:val="6C3F6A60"/>
    <w:rsid w:val="6D6B663D"/>
    <w:rsid w:val="6DB30AA4"/>
    <w:rsid w:val="6EA522B5"/>
    <w:rsid w:val="6EE679B1"/>
    <w:rsid w:val="6F137F97"/>
    <w:rsid w:val="6F4D2058"/>
    <w:rsid w:val="6F9708A0"/>
    <w:rsid w:val="6FDB5DF3"/>
    <w:rsid w:val="6FE46457"/>
    <w:rsid w:val="6FE87D2C"/>
    <w:rsid w:val="703E5897"/>
    <w:rsid w:val="70564192"/>
    <w:rsid w:val="707B36B7"/>
    <w:rsid w:val="70A62225"/>
    <w:rsid w:val="70C01F52"/>
    <w:rsid w:val="7107517F"/>
    <w:rsid w:val="711A106B"/>
    <w:rsid w:val="71916829"/>
    <w:rsid w:val="719921AA"/>
    <w:rsid w:val="72F26644"/>
    <w:rsid w:val="745914BB"/>
    <w:rsid w:val="75694284"/>
    <w:rsid w:val="75A619C9"/>
    <w:rsid w:val="75E76113"/>
    <w:rsid w:val="761932C0"/>
    <w:rsid w:val="76C662E3"/>
    <w:rsid w:val="76D96D33"/>
    <w:rsid w:val="7917268F"/>
    <w:rsid w:val="79D95BEF"/>
    <w:rsid w:val="7A121D25"/>
    <w:rsid w:val="7A180AC8"/>
    <w:rsid w:val="7A511B5E"/>
    <w:rsid w:val="7CA910FF"/>
    <w:rsid w:val="7D5E6639"/>
    <w:rsid w:val="7E0D2F6A"/>
    <w:rsid w:val="7EFF6FAF"/>
    <w:rsid w:val="7F7B1657"/>
    <w:rsid w:val="7FBB5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autoRedefine/>
    <w:qFormat/>
    <w:uiPriority w:val="0"/>
    <w:pPr>
      <w:keepNext/>
      <w:keepLines/>
      <w:spacing w:before="260" w:after="260" w:line="416" w:lineRule="auto"/>
      <w:outlineLvl w:val="1"/>
    </w:pPr>
    <w:rPr>
      <w:rFonts w:ascii="Arial" w:hAnsi="Arial" w:eastAsia="黑体"/>
      <w:b/>
      <w:bCs/>
      <w:sz w:val="32"/>
      <w:szCs w:val="32"/>
    </w:rPr>
  </w:style>
  <w:style w:type="paragraph" w:styleId="3">
    <w:name w:val="heading 3"/>
    <w:basedOn w:val="1"/>
    <w:next w:val="1"/>
    <w:link w:val="26"/>
    <w:autoRedefine/>
    <w:semiHidden/>
    <w:unhideWhenUsed/>
    <w:qFormat/>
    <w:uiPriority w:val="0"/>
    <w:pPr>
      <w:keepNext/>
      <w:keepLines/>
      <w:spacing w:before="260" w:after="260" w:line="416" w:lineRule="auto"/>
      <w:outlineLvl w:val="2"/>
    </w:pPr>
    <w:rPr>
      <w:b/>
      <w:bCs/>
      <w:sz w:val="32"/>
      <w:szCs w:val="32"/>
    </w:rPr>
  </w:style>
  <w:style w:type="paragraph" w:styleId="4">
    <w:name w:val="heading 4"/>
    <w:basedOn w:val="1"/>
    <w:next w:val="1"/>
    <w:autoRedefine/>
    <w:qFormat/>
    <w:uiPriority w:val="0"/>
    <w:pPr>
      <w:keepNext/>
      <w:keepLines/>
      <w:spacing w:before="280" w:after="290" w:line="376" w:lineRule="auto"/>
      <w:outlineLvl w:val="3"/>
    </w:pPr>
    <w:rPr>
      <w:rFonts w:ascii="Arial" w:hAnsi="Arial" w:eastAsia="黑体"/>
      <w:b/>
      <w:bCs/>
      <w:kern w:val="0"/>
      <w:sz w:val="28"/>
      <w:szCs w:val="28"/>
    </w:rPr>
  </w:style>
  <w:style w:type="character" w:default="1" w:styleId="17">
    <w:name w:val="Default Paragraph Font"/>
    <w:autoRedefine/>
    <w:semiHidden/>
    <w:unhideWhenUsed/>
    <w:qFormat/>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styleId="5">
    <w:name w:val="Normal Indent"/>
    <w:basedOn w:val="1"/>
    <w:autoRedefine/>
    <w:qFormat/>
    <w:uiPriority w:val="0"/>
    <w:pPr>
      <w:ind w:firstLine="420"/>
    </w:pPr>
    <w:rPr>
      <w:rFonts w:ascii="Times New Roman" w:hAnsi="Times New Roman"/>
      <w:kern w:val="0"/>
      <w:sz w:val="20"/>
      <w:szCs w:val="20"/>
    </w:rPr>
  </w:style>
  <w:style w:type="paragraph" w:styleId="6">
    <w:name w:val="annotation text"/>
    <w:basedOn w:val="1"/>
    <w:link w:val="21"/>
    <w:autoRedefine/>
    <w:qFormat/>
    <w:uiPriority w:val="0"/>
    <w:pPr>
      <w:jc w:val="left"/>
    </w:pPr>
    <w:rPr>
      <w:rFonts w:asciiTheme="minorHAnsi" w:hAnsiTheme="minorHAnsi" w:eastAsiaTheme="minorEastAsia" w:cstheme="minorBidi"/>
    </w:rPr>
  </w:style>
  <w:style w:type="paragraph" w:styleId="7">
    <w:name w:val="Body Text"/>
    <w:basedOn w:val="1"/>
    <w:next w:val="1"/>
    <w:autoRedefine/>
    <w:qFormat/>
    <w:uiPriority w:val="0"/>
    <w:pPr>
      <w:spacing w:after="120"/>
    </w:pPr>
  </w:style>
  <w:style w:type="paragraph" w:styleId="8">
    <w:name w:val="Plain Text"/>
    <w:basedOn w:val="1"/>
    <w:link w:val="24"/>
    <w:autoRedefine/>
    <w:qFormat/>
    <w:uiPriority w:val="0"/>
    <w:rPr>
      <w:rFonts w:ascii="宋体" w:hAnsi="Courier New" w:eastAsiaTheme="minorEastAsia" w:cstheme="minorBidi"/>
      <w:szCs w:val="20"/>
    </w:rPr>
  </w:style>
  <w:style w:type="paragraph" w:styleId="9">
    <w:name w:val="endnote text"/>
    <w:basedOn w:val="1"/>
    <w:autoRedefine/>
    <w:qFormat/>
    <w:uiPriority w:val="0"/>
    <w:pPr>
      <w:snapToGrid w:val="0"/>
      <w:jc w:val="left"/>
    </w:pPr>
    <w:rPr>
      <w:rFonts w:ascii="宋体" w:hAnsi="宋体"/>
      <w:kern w:val="0"/>
      <w:sz w:val="28"/>
    </w:rPr>
  </w:style>
  <w:style w:type="paragraph" w:styleId="10">
    <w:name w:val="footer"/>
    <w:basedOn w:val="1"/>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1">
    <w:name w:val="header"/>
    <w:basedOn w:val="1"/>
    <w:link w:val="25"/>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HTML Preformatted"/>
    <w:basedOn w:val="1"/>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kern w:val="0"/>
      <w:szCs w:val="21"/>
    </w:rPr>
  </w:style>
  <w:style w:type="paragraph" w:styleId="13">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paragraph" w:styleId="14">
    <w:name w:val="Title"/>
    <w:basedOn w:val="1"/>
    <w:next w:val="1"/>
    <w:autoRedefine/>
    <w:qFormat/>
    <w:uiPriority w:val="0"/>
    <w:pPr>
      <w:spacing w:before="240" w:after="60"/>
      <w:jc w:val="center"/>
      <w:outlineLvl w:val="0"/>
    </w:pPr>
    <w:rPr>
      <w:rFonts w:ascii="Cambria" w:hAnsi="Cambria"/>
      <w:b/>
      <w:bCs/>
      <w:sz w:val="32"/>
      <w:szCs w:val="32"/>
    </w:rPr>
  </w:style>
  <w:style w:type="paragraph" w:styleId="15">
    <w:name w:val="annotation subject"/>
    <w:basedOn w:val="6"/>
    <w:next w:val="6"/>
    <w:link w:val="22"/>
    <w:autoRedefine/>
    <w:qFormat/>
    <w:uiPriority w:val="0"/>
    <w:rPr>
      <w:rFonts w:ascii="Times New Roman" w:hAnsi="Times New Roman" w:eastAsia="宋体" w:cs="Times New Roman"/>
      <w:b/>
      <w:bCs/>
    </w:rPr>
  </w:style>
  <w:style w:type="character" w:styleId="18">
    <w:name w:val="FollowedHyperlink"/>
    <w:basedOn w:val="17"/>
    <w:autoRedefine/>
    <w:qFormat/>
    <w:uiPriority w:val="0"/>
    <w:rPr>
      <w:rFonts w:hint="eastAsia" w:ascii="黑体" w:hAnsi="宋体" w:eastAsia="黑体" w:cs="黑体"/>
      <w:color w:val="000000"/>
      <w:u w:val="none"/>
    </w:rPr>
  </w:style>
  <w:style w:type="character" w:styleId="19">
    <w:name w:val="Hyperlink"/>
    <w:basedOn w:val="17"/>
    <w:autoRedefine/>
    <w:qFormat/>
    <w:uiPriority w:val="0"/>
    <w:rPr>
      <w:rFonts w:ascii="黑体" w:hAnsi="宋体" w:eastAsia="黑体" w:cs="黑体"/>
      <w:color w:val="000000"/>
      <w:u w:val="none"/>
    </w:rPr>
  </w:style>
  <w:style w:type="character" w:styleId="20">
    <w:name w:val="annotation reference"/>
    <w:basedOn w:val="17"/>
    <w:autoRedefine/>
    <w:qFormat/>
    <w:uiPriority w:val="0"/>
    <w:rPr>
      <w:sz w:val="21"/>
      <w:szCs w:val="21"/>
    </w:rPr>
  </w:style>
  <w:style w:type="character" w:customStyle="1" w:styleId="21">
    <w:name w:val="批注文字 字符"/>
    <w:basedOn w:val="17"/>
    <w:link w:val="6"/>
    <w:autoRedefine/>
    <w:qFormat/>
    <w:uiPriority w:val="0"/>
    <w:rPr>
      <w:rFonts w:asciiTheme="minorHAnsi" w:hAnsiTheme="minorHAnsi" w:eastAsiaTheme="minorEastAsia" w:cstheme="minorBidi"/>
      <w:kern w:val="2"/>
      <w:sz w:val="21"/>
      <w:szCs w:val="24"/>
    </w:rPr>
  </w:style>
  <w:style w:type="character" w:customStyle="1" w:styleId="22">
    <w:name w:val="批注主题 字符"/>
    <w:basedOn w:val="21"/>
    <w:link w:val="15"/>
    <w:autoRedefine/>
    <w:qFormat/>
    <w:uiPriority w:val="0"/>
    <w:rPr>
      <w:rFonts w:asciiTheme="minorHAnsi" w:hAnsiTheme="minorHAnsi" w:eastAsiaTheme="minorEastAsia" w:cstheme="minorBidi"/>
      <w:b/>
      <w:bCs/>
      <w:kern w:val="2"/>
      <w:sz w:val="21"/>
      <w:szCs w:val="24"/>
    </w:rPr>
  </w:style>
  <w:style w:type="character" w:customStyle="1" w:styleId="23">
    <w:name w:val="未处理的提及1"/>
    <w:basedOn w:val="17"/>
    <w:autoRedefine/>
    <w:semiHidden/>
    <w:unhideWhenUsed/>
    <w:qFormat/>
    <w:uiPriority w:val="99"/>
    <w:rPr>
      <w:color w:val="605E5C"/>
      <w:shd w:val="clear" w:color="auto" w:fill="E1DFDD"/>
    </w:rPr>
  </w:style>
  <w:style w:type="character" w:customStyle="1" w:styleId="24">
    <w:name w:val="纯文本 字符"/>
    <w:basedOn w:val="17"/>
    <w:link w:val="8"/>
    <w:autoRedefine/>
    <w:qFormat/>
    <w:uiPriority w:val="0"/>
    <w:rPr>
      <w:rFonts w:ascii="宋体" w:hAnsi="Courier New" w:eastAsiaTheme="minorEastAsia" w:cstheme="minorBidi"/>
      <w:kern w:val="2"/>
      <w:sz w:val="21"/>
    </w:rPr>
  </w:style>
  <w:style w:type="character" w:customStyle="1" w:styleId="25">
    <w:name w:val="页眉 字符"/>
    <w:basedOn w:val="17"/>
    <w:link w:val="11"/>
    <w:autoRedefine/>
    <w:qFormat/>
    <w:uiPriority w:val="0"/>
    <w:rPr>
      <w:kern w:val="2"/>
      <w:sz w:val="18"/>
      <w:szCs w:val="18"/>
    </w:rPr>
  </w:style>
  <w:style w:type="character" w:customStyle="1" w:styleId="26">
    <w:name w:val="标题 3 字符"/>
    <w:basedOn w:val="17"/>
    <w:link w:val="3"/>
    <w:autoRedefine/>
    <w:semiHidden/>
    <w:qFormat/>
    <w:uiPriority w:val="0"/>
    <w:rPr>
      <w:b/>
      <w:bCs/>
      <w:kern w:val="2"/>
      <w:sz w:val="32"/>
      <w:szCs w:val="32"/>
    </w:rPr>
  </w:style>
  <w:style w:type="paragraph" w:styleId="27">
    <w:name w:val="List Paragraph"/>
    <w:basedOn w:val="1"/>
    <w:autoRedefine/>
    <w:qFormat/>
    <w:uiPriority w:val="99"/>
    <w:pPr>
      <w:ind w:firstLine="420" w:firstLineChars="200"/>
    </w:pPr>
  </w:style>
  <w:style w:type="paragraph" w:customStyle="1" w:styleId="28">
    <w:name w:val=".."/>
    <w:basedOn w:val="1"/>
    <w:next w:val="1"/>
    <w:autoRedefine/>
    <w:qFormat/>
    <w:uiPriority w:val="0"/>
    <w:pPr>
      <w:autoSpaceDE w:val="0"/>
      <w:autoSpaceDN w:val="0"/>
      <w:adjustRightInd w:val="0"/>
      <w:jc w:val="left"/>
    </w:pPr>
    <w:rPr>
      <w:rFonts w:ascii="Arial Unicode MS" w:hAnsi="Times New Roman" w:eastAsia="Arial Unicode MS"/>
      <w:kern w:val="0"/>
      <w:sz w:val="24"/>
      <w:szCs w:val="24"/>
    </w:rPr>
  </w:style>
  <w:style w:type="paragraph" w:customStyle="1" w:styleId="29">
    <w:name w:val="列出段落1"/>
    <w:basedOn w:val="1"/>
    <w:autoRedefine/>
    <w:qFormat/>
    <w:uiPriority w:val="34"/>
    <w:pPr>
      <w:ind w:firstLine="420" w:firstLineChars="200"/>
    </w:pPr>
    <w:rPr>
      <w:szCs w:val="24"/>
    </w:rPr>
  </w:style>
  <w:style w:type="paragraph" w:customStyle="1" w:styleId="30">
    <w:name w:val="表格文字"/>
    <w:basedOn w:val="1"/>
    <w:autoRedefine/>
    <w:qFormat/>
    <w:uiPriority w:val="0"/>
    <w:pPr>
      <w:spacing w:before="25" w:after="25" w:line="240" w:lineRule="auto"/>
      <w:ind w:firstLine="0"/>
      <w:jc w:val="left"/>
    </w:pPr>
    <w:rPr>
      <w:bCs/>
      <w:spacing w:val="10"/>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5567</Words>
  <Characters>5793</Characters>
  <Lines>4</Lines>
  <Paragraphs>10</Paragraphs>
  <TotalTime>224</TotalTime>
  <ScaleCrop>false</ScaleCrop>
  <LinksUpToDate>false</LinksUpToDate>
  <CharactersWithSpaces>5902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2021-07-30T07:28:00Z</dcterms:created>
  <dc:creator>Administrator</dc:creator>
  <cp:lastModifiedBy>ML</cp:lastModifiedBy>
  <dcterms:modified xsi:type="dcterms:W3CDTF">2025-04-28T03:51:56Z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15B9EBB6E19F4EDEB3920D6F29A57898_13</vt:lpwstr>
  </property>
  <property fmtid="{D5CDD505-2E9C-101B-9397-08002B2CF9AE}" pid="4" name="KSOTemplateDocerSaveRecord">
    <vt:lpwstr>eyJoZGlkIjoiMjQ1OWIzOTVlMWY1ZTMyODIyNmQ4NzJlNDcxYjA4MzkiLCJ1c2VySWQiOiIzNzA4NTY4NTAifQ==</vt:lpwstr>
  </property>
</Properties>
</file>