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31B89">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515F9668">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45F48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C9DD301">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25FA6253">
            <w:pPr>
              <w:jc w:val="center"/>
              <w:rPr>
                <w:rFonts w:asciiTheme="minorEastAsia" w:hAnsiTheme="minorEastAsia" w:eastAsiaTheme="minorEastAsia"/>
                <w:color w:val="auto"/>
                <w:szCs w:val="21"/>
                <w:highlight w:val="yellow"/>
              </w:rPr>
            </w:pPr>
            <w:r>
              <w:rPr>
                <w:rFonts w:hint="eastAsia"/>
              </w:rPr>
              <w:t>中频脉冲治疗仪（糖尿病治疗仪）</w:t>
            </w:r>
          </w:p>
        </w:tc>
        <w:tc>
          <w:tcPr>
            <w:tcW w:w="1543" w:type="dxa"/>
            <w:vAlign w:val="center"/>
          </w:tcPr>
          <w:p w14:paraId="669ADBDF">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120670F5">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16F2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69E0799">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2C77CD36">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w:t>
            </w:r>
          </w:p>
        </w:tc>
        <w:tc>
          <w:tcPr>
            <w:tcW w:w="1543" w:type="dxa"/>
            <w:vAlign w:val="center"/>
          </w:tcPr>
          <w:p w14:paraId="09F9B14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02C4C375">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595A7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365A2A62">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27464E95">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16.5</w:t>
            </w:r>
          </w:p>
        </w:tc>
        <w:tc>
          <w:tcPr>
            <w:tcW w:w="1543" w:type="dxa"/>
            <w:shd w:val="clear" w:color="auto" w:fill="auto"/>
            <w:vAlign w:val="center"/>
          </w:tcPr>
          <w:p w14:paraId="5D9D71F3">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73A52E89">
            <w:pPr>
              <w:jc w:val="center"/>
              <w:rPr>
                <w:rFonts w:hint="eastAsia"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否</w:t>
            </w:r>
          </w:p>
        </w:tc>
      </w:tr>
      <w:tr w14:paraId="65FB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75692971">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4098"/>
              <w:gridCol w:w="1131"/>
              <w:gridCol w:w="2046"/>
            </w:tblGrid>
            <w:tr w14:paraId="3B52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center"/>
                </w:tcPr>
                <w:p w14:paraId="76178425">
                  <w:pPr>
                    <w:jc w:val="center"/>
                    <w:rPr>
                      <w:bCs/>
                      <w:color w:val="auto"/>
                      <w:sz w:val="21"/>
                      <w:szCs w:val="21"/>
                      <w:highlight w:val="yellow"/>
                    </w:rPr>
                  </w:pPr>
                  <w:r>
                    <w:rPr>
                      <w:rFonts w:hint="eastAsia"/>
                      <w:bCs/>
                      <w:color w:val="auto"/>
                      <w:sz w:val="21"/>
                      <w:szCs w:val="21"/>
                      <w:highlight w:val="yellow"/>
                    </w:rPr>
                    <w:t>序号</w:t>
                  </w:r>
                </w:p>
              </w:tc>
              <w:tc>
                <w:tcPr>
                  <w:tcW w:w="4098" w:type="dxa"/>
                  <w:noWrap w:val="0"/>
                  <w:vAlign w:val="center"/>
                </w:tcPr>
                <w:p w14:paraId="6EB519D0">
                  <w:pPr>
                    <w:jc w:val="center"/>
                    <w:rPr>
                      <w:bCs/>
                      <w:color w:val="auto"/>
                      <w:sz w:val="21"/>
                      <w:szCs w:val="21"/>
                      <w:highlight w:val="yellow"/>
                    </w:rPr>
                  </w:pPr>
                  <w:r>
                    <w:rPr>
                      <w:rFonts w:hint="eastAsia"/>
                      <w:bCs/>
                      <w:color w:val="auto"/>
                      <w:sz w:val="21"/>
                      <w:szCs w:val="21"/>
                      <w:highlight w:val="yellow"/>
                    </w:rPr>
                    <w:t>货物名称</w:t>
                  </w:r>
                </w:p>
              </w:tc>
              <w:tc>
                <w:tcPr>
                  <w:tcW w:w="1131" w:type="dxa"/>
                  <w:noWrap w:val="0"/>
                  <w:vAlign w:val="center"/>
                </w:tcPr>
                <w:p w14:paraId="61DEC583">
                  <w:pPr>
                    <w:jc w:val="center"/>
                    <w:rPr>
                      <w:bCs/>
                      <w:color w:val="auto"/>
                      <w:sz w:val="21"/>
                      <w:szCs w:val="21"/>
                      <w:highlight w:val="yellow"/>
                    </w:rPr>
                  </w:pPr>
                  <w:r>
                    <w:rPr>
                      <w:rFonts w:hint="eastAsia"/>
                      <w:bCs/>
                      <w:color w:val="auto"/>
                      <w:sz w:val="21"/>
                      <w:szCs w:val="21"/>
                      <w:highlight w:val="yellow"/>
                    </w:rPr>
                    <w:t>数量</w:t>
                  </w:r>
                </w:p>
              </w:tc>
              <w:tc>
                <w:tcPr>
                  <w:tcW w:w="2046" w:type="dxa"/>
                  <w:noWrap w:val="0"/>
                  <w:vAlign w:val="center"/>
                </w:tcPr>
                <w:p w14:paraId="2A1E859E">
                  <w:pPr>
                    <w:jc w:val="center"/>
                    <w:rPr>
                      <w:bCs/>
                      <w:color w:val="auto"/>
                      <w:sz w:val="21"/>
                      <w:szCs w:val="21"/>
                      <w:highlight w:val="yellow"/>
                    </w:rPr>
                  </w:pPr>
                  <w:r>
                    <w:rPr>
                      <w:rFonts w:hint="eastAsia"/>
                      <w:bCs/>
                      <w:color w:val="auto"/>
                      <w:sz w:val="21"/>
                      <w:szCs w:val="21"/>
                      <w:highlight w:val="yellow"/>
                    </w:rPr>
                    <w:t>单位</w:t>
                  </w:r>
                </w:p>
              </w:tc>
            </w:tr>
            <w:tr w14:paraId="7B05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71" w:type="dxa"/>
                  <w:noWrap w:val="0"/>
                  <w:vAlign w:val="top"/>
                </w:tcPr>
                <w:p w14:paraId="761C823A">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4098" w:type="dxa"/>
                  <w:noWrap w:val="0"/>
                  <w:vAlign w:val="center"/>
                </w:tcPr>
                <w:p w14:paraId="1F4165FC">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仪器主机</w:t>
                  </w:r>
                </w:p>
              </w:tc>
              <w:tc>
                <w:tcPr>
                  <w:tcW w:w="1131" w:type="dxa"/>
                  <w:noWrap w:val="0"/>
                  <w:vAlign w:val="top"/>
                </w:tcPr>
                <w:p w14:paraId="740A2207">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2046" w:type="dxa"/>
                  <w:noWrap w:val="0"/>
                  <w:vAlign w:val="center"/>
                </w:tcPr>
                <w:p w14:paraId="0E35B373">
                  <w:pPr>
                    <w:spacing w:line="400" w:lineRule="exact"/>
                    <w:jc w:val="center"/>
                    <w:rPr>
                      <w:rFonts w:hint="eastAsia" w:eastAsia="宋体"/>
                      <w:bCs/>
                      <w:color w:val="auto"/>
                      <w:sz w:val="21"/>
                      <w:szCs w:val="21"/>
                      <w:highlight w:val="yellow"/>
                      <w:lang w:eastAsia="zh-CN"/>
                    </w:rPr>
                  </w:pPr>
                  <w:r>
                    <w:rPr>
                      <w:rFonts w:hint="eastAsia"/>
                      <w:bCs/>
                      <w:color w:val="auto"/>
                      <w:sz w:val="21"/>
                      <w:szCs w:val="21"/>
                      <w:highlight w:val="yellow"/>
                      <w:lang w:eastAsia="zh-CN"/>
                    </w:rPr>
                    <w:t>台</w:t>
                  </w:r>
                </w:p>
              </w:tc>
            </w:tr>
            <w:tr w14:paraId="678E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0C105810">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4098" w:type="dxa"/>
                  <w:noWrap w:val="0"/>
                  <w:vAlign w:val="center"/>
                </w:tcPr>
                <w:p w14:paraId="3C99AA03">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电源线</w:t>
                  </w:r>
                </w:p>
              </w:tc>
              <w:tc>
                <w:tcPr>
                  <w:tcW w:w="1131" w:type="dxa"/>
                  <w:noWrap w:val="0"/>
                  <w:vAlign w:val="center"/>
                </w:tcPr>
                <w:p w14:paraId="443A88D3">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1</w:t>
                  </w:r>
                </w:p>
              </w:tc>
              <w:tc>
                <w:tcPr>
                  <w:tcW w:w="2046" w:type="dxa"/>
                  <w:noWrap w:val="0"/>
                  <w:vAlign w:val="center"/>
                </w:tcPr>
                <w:p w14:paraId="71840B9A">
                  <w:pPr>
                    <w:jc w:val="center"/>
                    <w:rPr>
                      <w:rFonts w:hint="eastAsia" w:ascii="宋体" w:hAnsi="宋体" w:eastAsia="宋体" w:cs="宋体"/>
                      <w:b/>
                      <w:color w:val="auto"/>
                      <w:sz w:val="21"/>
                      <w:szCs w:val="21"/>
                      <w:highlight w:val="yellow"/>
                      <w:lang w:eastAsia="zh-CN"/>
                    </w:rPr>
                  </w:pPr>
                  <w:r>
                    <w:rPr>
                      <w:rFonts w:hint="eastAsia" w:ascii="宋体" w:hAnsi="宋体" w:cs="宋体"/>
                      <w:b/>
                      <w:color w:val="auto"/>
                      <w:sz w:val="21"/>
                      <w:szCs w:val="21"/>
                      <w:highlight w:val="yellow"/>
                      <w:lang w:eastAsia="zh-CN"/>
                    </w:rPr>
                    <w:t>根</w:t>
                  </w:r>
                </w:p>
              </w:tc>
            </w:tr>
            <w:tr w14:paraId="1735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41078C9E">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4098" w:type="dxa"/>
                  <w:noWrap w:val="0"/>
                  <w:vAlign w:val="center"/>
                </w:tcPr>
                <w:p w14:paraId="2CE89644">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cs="宋体"/>
                      <w:i w:val="0"/>
                      <w:color w:val="000000"/>
                      <w:kern w:val="2"/>
                      <w:sz w:val="24"/>
                      <w:szCs w:val="24"/>
                      <w:u w:val="none"/>
                      <w:lang w:val="en-US" w:eastAsia="zh-CN" w:bidi="ar-SA"/>
                    </w:rPr>
                    <w:t>专用输出导联线</w:t>
                  </w:r>
                </w:p>
              </w:tc>
              <w:tc>
                <w:tcPr>
                  <w:tcW w:w="1131" w:type="dxa"/>
                  <w:noWrap w:val="0"/>
                  <w:vAlign w:val="center"/>
                </w:tcPr>
                <w:p w14:paraId="3D3E9BD7">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1</w:t>
                  </w:r>
                </w:p>
              </w:tc>
              <w:tc>
                <w:tcPr>
                  <w:tcW w:w="2046" w:type="dxa"/>
                  <w:noWrap w:val="0"/>
                  <w:vAlign w:val="center"/>
                </w:tcPr>
                <w:p w14:paraId="15B30527">
                  <w:pPr>
                    <w:jc w:val="center"/>
                    <w:rPr>
                      <w:rFonts w:hint="eastAsia" w:ascii="宋体" w:hAnsi="宋体" w:eastAsia="宋体" w:cs="宋体"/>
                      <w:b/>
                      <w:color w:val="auto"/>
                      <w:sz w:val="21"/>
                      <w:szCs w:val="21"/>
                      <w:highlight w:val="yellow"/>
                      <w:lang w:eastAsia="zh-CN"/>
                    </w:rPr>
                  </w:pPr>
                  <w:r>
                    <w:rPr>
                      <w:rFonts w:hint="eastAsia" w:ascii="宋体" w:hAnsi="宋体" w:cs="宋体"/>
                      <w:b/>
                      <w:color w:val="auto"/>
                      <w:sz w:val="21"/>
                      <w:szCs w:val="21"/>
                      <w:highlight w:val="yellow"/>
                      <w:lang w:eastAsia="zh-CN"/>
                    </w:rPr>
                    <w:t>套</w:t>
                  </w:r>
                </w:p>
              </w:tc>
            </w:tr>
            <w:tr w14:paraId="712F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2E8B914D">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4098" w:type="dxa"/>
                  <w:noWrap w:val="0"/>
                  <w:vAlign w:val="center"/>
                </w:tcPr>
                <w:p w14:paraId="1715260D">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毫米波探头</w:t>
                  </w:r>
                </w:p>
              </w:tc>
              <w:tc>
                <w:tcPr>
                  <w:tcW w:w="1131" w:type="dxa"/>
                  <w:noWrap w:val="0"/>
                  <w:vAlign w:val="center"/>
                </w:tcPr>
                <w:p w14:paraId="4A30D361">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w:t>
                  </w:r>
                </w:p>
              </w:tc>
              <w:tc>
                <w:tcPr>
                  <w:tcW w:w="2046" w:type="dxa"/>
                  <w:noWrap w:val="0"/>
                  <w:vAlign w:val="center"/>
                </w:tcPr>
                <w:p w14:paraId="1F5F309C">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个</w:t>
                  </w:r>
                </w:p>
              </w:tc>
            </w:tr>
            <w:tr w14:paraId="386B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28CF777E">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5</w:t>
                  </w:r>
                </w:p>
              </w:tc>
              <w:tc>
                <w:tcPr>
                  <w:tcW w:w="4098" w:type="dxa"/>
                  <w:noWrap w:val="0"/>
                  <w:vAlign w:val="center"/>
                </w:tcPr>
                <w:p w14:paraId="4798415B">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毫米波探头固定带</w:t>
                  </w:r>
                </w:p>
              </w:tc>
              <w:tc>
                <w:tcPr>
                  <w:tcW w:w="1131" w:type="dxa"/>
                  <w:noWrap w:val="0"/>
                  <w:vAlign w:val="center"/>
                </w:tcPr>
                <w:p w14:paraId="60D55010">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w:t>
                  </w:r>
                </w:p>
              </w:tc>
              <w:tc>
                <w:tcPr>
                  <w:tcW w:w="2046" w:type="dxa"/>
                  <w:noWrap w:val="0"/>
                  <w:vAlign w:val="center"/>
                </w:tcPr>
                <w:p w14:paraId="7465626A">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个</w:t>
                  </w:r>
                </w:p>
              </w:tc>
            </w:tr>
            <w:tr w14:paraId="6A569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6FCC3843">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6</w:t>
                  </w:r>
                </w:p>
              </w:tc>
              <w:tc>
                <w:tcPr>
                  <w:tcW w:w="4098" w:type="dxa"/>
                  <w:noWrap w:val="0"/>
                  <w:vAlign w:val="center"/>
                </w:tcPr>
                <w:p w14:paraId="4959D6AF">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使用说明书</w:t>
                  </w:r>
                </w:p>
              </w:tc>
              <w:tc>
                <w:tcPr>
                  <w:tcW w:w="1131" w:type="dxa"/>
                  <w:noWrap w:val="0"/>
                  <w:vAlign w:val="center"/>
                </w:tcPr>
                <w:p w14:paraId="6565AA75">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w:t>
                  </w:r>
                </w:p>
              </w:tc>
              <w:tc>
                <w:tcPr>
                  <w:tcW w:w="2046" w:type="dxa"/>
                  <w:noWrap w:val="0"/>
                  <w:vAlign w:val="center"/>
                </w:tcPr>
                <w:p w14:paraId="47B2B291">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本</w:t>
                  </w:r>
                </w:p>
              </w:tc>
            </w:tr>
            <w:tr w14:paraId="5D46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26C345EF">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7</w:t>
                  </w:r>
                </w:p>
              </w:tc>
              <w:tc>
                <w:tcPr>
                  <w:tcW w:w="4098" w:type="dxa"/>
                  <w:noWrap w:val="0"/>
                  <w:vAlign w:val="center"/>
                </w:tcPr>
                <w:p w14:paraId="32E4A7F2">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检验合格证</w:t>
                  </w:r>
                </w:p>
              </w:tc>
              <w:tc>
                <w:tcPr>
                  <w:tcW w:w="1131" w:type="dxa"/>
                  <w:noWrap w:val="0"/>
                  <w:vAlign w:val="center"/>
                </w:tcPr>
                <w:p w14:paraId="4D5E0E10">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w:t>
                  </w:r>
                </w:p>
              </w:tc>
              <w:tc>
                <w:tcPr>
                  <w:tcW w:w="2046" w:type="dxa"/>
                  <w:noWrap w:val="0"/>
                  <w:vAlign w:val="center"/>
                </w:tcPr>
                <w:p w14:paraId="446B22D9">
                  <w:pPr>
                    <w:jc w:val="center"/>
                    <w:rPr>
                      <w:rFonts w:hint="eastAsia" w:ascii="宋体" w:hAnsi="宋体" w:eastAsia="宋体"/>
                      <w:b/>
                      <w:color w:val="auto"/>
                      <w:sz w:val="21"/>
                      <w:szCs w:val="21"/>
                      <w:highlight w:val="yellow"/>
                      <w:lang w:eastAsia="zh-CN"/>
                    </w:rPr>
                  </w:pPr>
                  <w:r>
                    <w:rPr>
                      <w:rFonts w:hint="eastAsia" w:ascii="宋体" w:hAnsi="宋体"/>
                      <w:b/>
                      <w:color w:val="auto"/>
                      <w:sz w:val="21"/>
                      <w:szCs w:val="21"/>
                      <w:highlight w:val="yellow"/>
                      <w:lang w:eastAsia="zh-CN"/>
                    </w:rPr>
                    <w:t>张</w:t>
                  </w:r>
                </w:p>
              </w:tc>
            </w:tr>
            <w:tr w14:paraId="29CB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Pr>
                <w:p w14:paraId="4D950DDE">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8</w:t>
                  </w:r>
                </w:p>
              </w:tc>
              <w:tc>
                <w:tcPr>
                  <w:tcW w:w="0" w:type="auto"/>
                  <w:vAlign w:val="center"/>
                </w:tcPr>
                <w:p w14:paraId="6A27488B">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保修单</w:t>
                  </w:r>
                </w:p>
              </w:tc>
              <w:tc>
                <w:tcPr>
                  <w:tcW w:w="0" w:type="auto"/>
                </w:tcPr>
                <w:p w14:paraId="13666ED5">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w:t>
                  </w:r>
                </w:p>
              </w:tc>
              <w:tc>
                <w:tcPr>
                  <w:tcW w:w="0" w:type="auto"/>
                </w:tcPr>
                <w:p w14:paraId="5136FF11">
                  <w:pPr>
                    <w:jc w:val="center"/>
                    <w:rPr>
                      <w:rFonts w:hint="eastAsia" w:ascii="宋体" w:hAnsi="宋体"/>
                      <w:b/>
                      <w:color w:val="auto"/>
                      <w:sz w:val="21"/>
                      <w:szCs w:val="21"/>
                      <w:highlight w:val="yellow"/>
                    </w:rPr>
                  </w:pPr>
                  <w:r>
                    <w:rPr>
                      <w:rFonts w:hint="eastAsia" w:ascii="宋体" w:hAnsi="宋体"/>
                      <w:b/>
                      <w:color w:val="auto"/>
                      <w:sz w:val="21"/>
                      <w:szCs w:val="21"/>
                      <w:highlight w:val="yellow"/>
                      <w:lang w:eastAsia="zh-CN"/>
                    </w:rPr>
                    <w:t>张</w:t>
                  </w:r>
                </w:p>
              </w:tc>
            </w:tr>
            <w:tr w14:paraId="72A4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Pr>
                <w:p w14:paraId="739D9F51">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9</w:t>
                  </w:r>
                </w:p>
              </w:tc>
              <w:tc>
                <w:tcPr>
                  <w:tcW w:w="0" w:type="auto"/>
                  <w:vAlign w:val="center"/>
                </w:tcPr>
                <w:p w14:paraId="663EF4D1">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电极片</w:t>
                  </w:r>
                </w:p>
              </w:tc>
              <w:tc>
                <w:tcPr>
                  <w:tcW w:w="0" w:type="auto"/>
                </w:tcPr>
                <w:p w14:paraId="2B60EEA5">
                  <w:pPr>
                    <w:jc w:val="center"/>
                    <w:rPr>
                      <w:rFonts w:hint="default" w:ascii="宋体" w:hAnsi="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50</w:t>
                  </w:r>
                </w:p>
              </w:tc>
              <w:tc>
                <w:tcPr>
                  <w:tcW w:w="0" w:type="auto"/>
                </w:tcPr>
                <w:p w14:paraId="034D6F6D">
                  <w:pPr>
                    <w:jc w:val="center"/>
                    <w:rPr>
                      <w:rFonts w:hint="eastAsia" w:ascii="宋体" w:hAnsi="宋体" w:eastAsia="宋体"/>
                      <w:b/>
                      <w:color w:val="auto"/>
                      <w:sz w:val="21"/>
                      <w:szCs w:val="21"/>
                      <w:highlight w:val="yellow"/>
                      <w:lang w:val="en-US" w:eastAsia="zh-CN"/>
                    </w:rPr>
                  </w:pPr>
                  <w:r>
                    <w:rPr>
                      <w:rFonts w:hint="eastAsia" w:ascii="宋体" w:hAnsi="宋体"/>
                      <w:b/>
                      <w:color w:val="auto"/>
                      <w:sz w:val="21"/>
                      <w:szCs w:val="21"/>
                      <w:highlight w:val="yellow"/>
                      <w:lang w:val="en-US" w:eastAsia="zh-CN"/>
                    </w:rPr>
                    <w:t>片</w:t>
                  </w:r>
                </w:p>
              </w:tc>
            </w:tr>
            <w:tr w14:paraId="4D542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Pr>
                <w:p w14:paraId="3E2D6CB7">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10</w:t>
                  </w:r>
                </w:p>
              </w:tc>
              <w:tc>
                <w:tcPr>
                  <w:tcW w:w="0" w:type="auto"/>
                  <w:vAlign w:val="center"/>
                </w:tcPr>
                <w:p w14:paraId="19B8336C">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装箱单</w:t>
                  </w:r>
                </w:p>
              </w:tc>
              <w:tc>
                <w:tcPr>
                  <w:tcW w:w="0" w:type="auto"/>
                </w:tcPr>
                <w:p w14:paraId="28D446B6">
                  <w:pPr>
                    <w:jc w:val="center"/>
                    <w:rPr>
                      <w:rFonts w:hint="default" w:ascii="宋体" w:hAnsi="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w:t>
                  </w:r>
                </w:p>
              </w:tc>
              <w:tc>
                <w:tcPr>
                  <w:tcW w:w="0" w:type="auto"/>
                </w:tcPr>
                <w:p w14:paraId="7A45D05B">
                  <w:pPr>
                    <w:jc w:val="center"/>
                    <w:rPr>
                      <w:rFonts w:hint="eastAsia" w:ascii="宋体" w:hAnsi="宋体"/>
                      <w:b/>
                      <w:color w:val="auto"/>
                      <w:sz w:val="21"/>
                      <w:szCs w:val="21"/>
                      <w:highlight w:val="yellow"/>
                      <w:lang w:eastAsia="zh-CN"/>
                    </w:rPr>
                  </w:pPr>
                  <w:r>
                    <w:rPr>
                      <w:rFonts w:hint="eastAsia" w:ascii="宋体" w:hAnsi="宋体"/>
                      <w:b/>
                      <w:color w:val="auto"/>
                      <w:sz w:val="21"/>
                      <w:szCs w:val="21"/>
                      <w:highlight w:val="yellow"/>
                      <w:lang w:eastAsia="zh-CN"/>
                    </w:rPr>
                    <w:t>张</w:t>
                  </w:r>
                </w:p>
              </w:tc>
            </w:tr>
          </w:tbl>
          <w:p w14:paraId="1D6BE2B2">
            <w:pPr>
              <w:rPr>
                <w:rFonts w:asciiTheme="minorEastAsia" w:hAnsiTheme="minorEastAsia" w:eastAsiaTheme="minorEastAsia"/>
                <w:color w:val="auto"/>
                <w:szCs w:val="21"/>
                <w:highlight w:val="yellow"/>
              </w:rPr>
            </w:pPr>
          </w:p>
        </w:tc>
      </w:tr>
      <w:tr w14:paraId="0840E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50618891">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4AF67A28">
            <w:pPr>
              <w:pStyle w:val="27"/>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210840EB">
            <w:pPr>
              <w:numPr>
                <w:ilvl w:val="0"/>
                <w:numId w:val="0"/>
              </w:numPr>
              <w:tabs>
                <w:tab w:val="left" w:pos="540"/>
              </w:tabs>
              <w:adjustRightInd w:val="0"/>
              <w:snapToGrid w:val="0"/>
              <w:spacing w:line="360" w:lineRule="auto"/>
              <w:ind w:leftChars="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1.毫米波照射技术</w:t>
            </w:r>
          </w:p>
          <w:p w14:paraId="72D90CA0">
            <w:pPr>
              <w:numPr>
                <w:ilvl w:val="0"/>
                <w:numId w:val="0"/>
              </w:numPr>
              <w:tabs>
                <w:tab w:val="left" w:pos="540"/>
              </w:tabs>
              <w:adjustRightInd w:val="0"/>
              <w:snapToGrid w:val="0"/>
              <w:spacing w:line="360" w:lineRule="auto"/>
              <w:ind w:leftChars="0" w:firstLine="420" w:firstLineChars="2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毫米波频率与人体组织细胞固有频率接近，毫米波能量容易为人体吸收; 毫米波的远距离照射效应可使毫米波作用到全身的组织器官，其接近人体生物频率的能量照射可改善全身组织的微循环，增加周围组织靶细胞受体和胰岛素的结合能力，对 Il 型糖尿病及其己起的并发症的有辅助治疗作用。</w:t>
            </w:r>
          </w:p>
          <w:p w14:paraId="07EECC39">
            <w:pPr>
              <w:numPr>
                <w:ilvl w:val="0"/>
                <w:numId w:val="0"/>
              </w:numPr>
              <w:tabs>
                <w:tab w:val="left" w:pos="540"/>
              </w:tabs>
              <w:adjustRightInd w:val="0"/>
              <w:snapToGrid w:val="0"/>
              <w:spacing w:line="360" w:lineRule="auto"/>
              <w:ind w:leftChars="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2.中频电脉冲穴位治疗</w:t>
            </w:r>
          </w:p>
          <w:p w14:paraId="2C1FD7D8">
            <w:pPr>
              <w:numPr>
                <w:ilvl w:val="0"/>
                <w:numId w:val="0"/>
              </w:numPr>
              <w:tabs>
                <w:tab w:val="left" w:pos="540"/>
              </w:tabs>
              <w:adjustRightInd w:val="0"/>
              <w:snapToGrid w:val="0"/>
              <w:spacing w:line="360" w:lineRule="auto"/>
              <w:ind w:firstLine="420" w:firstLineChars="200"/>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sz w:val="21"/>
                <w:szCs w:val="21"/>
              </w:rPr>
              <w:t>设计了8套经长期临床验证的穴位治疗方案，分别针对普通糖尿病及其引起的并发症可有效的改善内分泌系统功能，从而辅助调节血糖水平；同时通过疏通全身经络，加快神经传导速度，减轻及防治糖尿病并发症</w:t>
            </w:r>
            <w:r>
              <w:rPr>
                <w:rFonts w:hint="eastAsia" w:asciiTheme="minorEastAsia" w:hAnsiTheme="minorEastAsia" w:eastAsiaTheme="minorEastAsia" w:cstheme="minorEastAsia"/>
                <w:color w:val="000000"/>
                <w:sz w:val="21"/>
                <w:szCs w:val="21"/>
                <w:lang w:eastAsia="zh-CN"/>
              </w:rPr>
              <w:t>。</w:t>
            </w:r>
          </w:p>
          <w:p w14:paraId="11249714">
            <w:pPr>
              <w:numPr>
                <w:ilvl w:val="0"/>
                <w:numId w:val="0"/>
              </w:numPr>
              <w:tabs>
                <w:tab w:val="left" w:pos="540"/>
              </w:tabs>
              <w:adjustRightInd w:val="0"/>
              <w:snapToGrid w:val="0"/>
              <w:spacing w:line="360" w:lineRule="auto"/>
              <w:ind w:leftChars="0" w:firstLine="56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产品内储8套不同治疗方案,根据中医“辩证施治”的原理,分别针对各型糖尿病及多种并发症,并配有直观人体贴穴图；可提供不同的毫米波工作模式，针对不同患者选择合适的处方,保证治疗安全有效；灵敏耐用的触摸式液晶屏,可清晰显示直观人体贴穴图,操作简便快捷；全电脑驱动,按照设定的8个穴位连续自动治疗,治疗结束后自动停止并有声音提示,无需专人看护,减少医护工作量；毫米波探头用弹性绷带固定,舒适便捷,适用于各种体形的病人。</w:t>
            </w:r>
          </w:p>
          <w:p w14:paraId="791007B3">
            <w:pPr>
              <w:numPr>
                <w:ilvl w:val="0"/>
                <w:numId w:val="0"/>
              </w:numPr>
              <w:tabs>
                <w:tab w:val="left" w:pos="540"/>
              </w:tabs>
              <w:adjustRightInd w:val="0"/>
              <w:snapToGrid w:val="0"/>
              <w:spacing w:line="360" w:lineRule="auto"/>
              <w:ind w:leftChars="0" w:firstLine="56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1E429FE3">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238AD46E">
            <w:pPr>
              <w:numPr>
                <w:ilvl w:val="0"/>
                <w:numId w:val="0"/>
              </w:numPr>
              <w:tabs>
                <w:tab w:val="left" w:pos="540"/>
              </w:tabs>
              <w:adjustRightInd w:val="0"/>
              <w:snapToGrid w:val="0"/>
              <w:spacing w:line="36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7A38815A">
            <w:pPr>
              <w:pStyle w:val="12"/>
            </w:pPr>
          </w:p>
          <w:p w14:paraId="27CF7687">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07A8F21F">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75E850F4">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2632FF2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395D6260">
            <w:pPr>
              <w:ind w:firstLine="422" w:firstLineChars="200"/>
              <w:rPr>
                <w:rFonts w:hint="eastAsia" w:asciiTheme="minorEastAsia" w:hAnsiTheme="minorEastAsia" w:eastAsiaTheme="minorEastAsia"/>
                <w:b/>
                <w:szCs w:val="21"/>
              </w:rPr>
            </w:pPr>
          </w:p>
          <w:p w14:paraId="3C9DC302">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0AA3BACF">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7B92D800">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09C3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74F0B4B5">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lang w:eastAsia="zh-CN"/>
                    </w:rPr>
                    <w:t>设备</w:t>
                  </w:r>
                  <w:r>
                    <w:rPr>
                      <w:rFonts w:hint="eastAsia" w:cs="宋体"/>
                      <w:color w:val="auto"/>
                      <w:kern w:val="0"/>
                      <w:sz w:val="24"/>
                      <w:szCs w:val="21"/>
                      <w:highlight w:val="yellow"/>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3BD4C852">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rPr>
                    <w:t>招标技术要求</w:t>
                  </w:r>
                </w:p>
              </w:tc>
            </w:tr>
            <w:tr w14:paraId="5769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noWrap w:val="0"/>
                  <w:vAlign w:val="center"/>
                </w:tcPr>
                <w:p w14:paraId="146B7B2B">
                  <w:pPr>
                    <w:jc w:val="left"/>
                    <w:rPr>
                      <w:rFonts w:hint="eastAsia" w:ascii="宋体" w:hAnsi="宋体" w:eastAsia="宋体" w:cs="宋体"/>
                      <w:color w:val="auto"/>
                      <w:kern w:val="0"/>
                      <w:szCs w:val="21"/>
                      <w:highlight w:val="yellow"/>
                      <w:lang w:eastAsia="zh-CN"/>
                    </w:rPr>
                  </w:pPr>
                  <w:r>
                    <w:rPr>
                      <w:rFonts w:hint="eastAsia" w:ascii="宋体" w:hAnsi="宋体" w:cs="宋体"/>
                      <w:color w:val="auto"/>
                      <w:kern w:val="0"/>
                      <w:szCs w:val="21"/>
                      <w:highlight w:val="yellow"/>
                      <w:lang w:eastAsia="zh-CN"/>
                    </w:rPr>
                    <w:t>中频脉冲治疗仪（糖尿病治疗仪）</w:t>
                  </w:r>
                </w:p>
              </w:tc>
              <w:tc>
                <w:tcPr>
                  <w:tcW w:w="7093" w:type="dxa"/>
                  <w:tcBorders>
                    <w:top w:val="single" w:color="auto" w:sz="4" w:space="0"/>
                    <w:left w:val="single" w:color="auto" w:sz="4" w:space="0"/>
                    <w:bottom w:val="single" w:color="auto" w:sz="4" w:space="0"/>
                    <w:right w:val="single" w:color="auto" w:sz="4" w:space="0"/>
                  </w:tcBorders>
                  <w:noWrap w:val="0"/>
                  <w:vAlign w:val="top"/>
                </w:tcPr>
                <w:p w14:paraId="18513D5E">
                  <w:pPr>
                    <w:spacing w:line="500" w:lineRule="exact"/>
                    <w:jc w:val="left"/>
                    <w:rPr>
                      <w:rFonts w:hint="eastAsia" w:ascii="宋体" w:hAnsi="宋体" w:eastAsia="宋体" w:cs="宋体"/>
                      <w:color w:val="auto"/>
                      <w:sz w:val="21"/>
                      <w:szCs w:val="21"/>
                      <w:highlight w:val="yellow"/>
                      <w:lang w:eastAsia="zh-CN"/>
                    </w:rPr>
                  </w:pPr>
                  <w:r>
                    <w:rPr>
                      <w:rFonts w:hint="eastAsia"/>
                      <w:lang w:eastAsia="zh-CN"/>
                    </w:rPr>
                    <w:t>基本功能：</w:t>
                  </w:r>
                  <w:r>
                    <w:t>电脉冲输出功能</w:t>
                  </w:r>
                  <w:r>
                    <w:rPr>
                      <w:rFonts w:hint="eastAsia"/>
                      <w:lang w:eastAsia="zh-CN"/>
                    </w:rPr>
                    <w:t>、</w:t>
                  </w:r>
                  <w:r>
                    <w:t>毫米波输出功能</w:t>
                  </w:r>
                  <w:r>
                    <w:rPr>
                      <w:rFonts w:hint="eastAsia"/>
                      <w:lang w:eastAsia="zh-CN"/>
                    </w:rPr>
                    <w:t>、</w:t>
                  </w:r>
                  <w:r>
                    <w:rPr>
                      <w:spacing w:val="-2"/>
                    </w:rPr>
                    <w:t>脉冲治疗穴位自动切换功能</w:t>
                  </w:r>
                  <w:r>
                    <w:rPr>
                      <w:rFonts w:hint="eastAsia"/>
                      <w:spacing w:val="-2"/>
                      <w:lang w:eastAsia="zh-CN"/>
                    </w:rPr>
                    <w:t>、</w:t>
                  </w:r>
                  <w:r>
                    <w:t>液晶屏幕显示功能</w:t>
                  </w:r>
                </w:p>
              </w:tc>
            </w:tr>
            <w:tr w14:paraId="4382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9A93779">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3E6CB73">
                  <w:pPr>
                    <w:pStyle w:val="27"/>
                    <w:numPr>
                      <w:ilvl w:val="0"/>
                      <w:numId w:val="1"/>
                    </w:numPr>
                    <w:snapToGrid w:val="0"/>
                    <w:spacing w:before="0" w:line="420" w:lineRule="atLeast"/>
                    <w:ind w:left="241" w:leftChars="0" w:hanging="241" w:firstLineChars="0"/>
                    <w:contextualSpacing/>
                    <w:rPr>
                      <w:sz w:val="24"/>
                    </w:rPr>
                  </w:pPr>
                  <w:r>
                    <w:rPr>
                      <w:sz w:val="24"/>
                    </w:rPr>
                    <w:t>脉冲波形（</w:t>
                  </w:r>
                  <w:r>
                    <w:rPr>
                      <w:spacing w:val="-10"/>
                      <w:sz w:val="24"/>
                    </w:rPr>
                    <w:t xml:space="preserve">负载阻抗为 </w:t>
                  </w:r>
                  <w:r>
                    <w:rPr>
                      <w:sz w:val="24"/>
                    </w:rPr>
                    <w:t>500</w:t>
                  </w:r>
                  <w:r>
                    <w:rPr>
                      <w:rFonts w:ascii="Arial" w:hAnsi="Arial" w:eastAsia="Arial"/>
                      <w:sz w:val="24"/>
                    </w:rPr>
                    <w:t>Ω</w:t>
                  </w:r>
                  <w:r>
                    <w:rPr>
                      <w:rFonts w:ascii="Arial" w:hAnsi="Arial" w:eastAsia="Arial"/>
                      <w:spacing w:val="-7"/>
                      <w:sz w:val="24"/>
                    </w:rPr>
                    <w:t xml:space="preserve"> </w:t>
                  </w:r>
                  <w:r>
                    <w:rPr>
                      <w:sz w:val="24"/>
                    </w:rPr>
                    <w:t>±50</w:t>
                  </w:r>
                  <w:r>
                    <w:rPr>
                      <w:rFonts w:ascii="Arial" w:hAnsi="Arial" w:eastAsia="Arial"/>
                      <w:sz w:val="24"/>
                    </w:rPr>
                    <w:t>Ω</w:t>
                  </w:r>
                  <w:r>
                    <w:rPr>
                      <w:rFonts w:ascii="Arial" w:hAnsi="Arial" w:eastAsia="Arial"/>
                      <w:spacing w:val="-7"/>
                      <w:sz w:val="24"/>
                    </w:rPr>
                    <w:t xml:space="preserve"> </w:t>
                  </w:r>
                  <w:r>
                    <w:rPr>
                      <w:sz w:val="24"/>
                    </w:rPr>
                    <w:t>，25W</w:t>
                  </w:r>
                  <w:r>
                    <w:rPr>
                      <w:spacing w:val="-12"/>
                      <w:sz w:val="24"/>
                    </w:rPr>
                    <w:t xml:space="preserve"> 无感电阻</w:t>
                  </w:r>
                  <w:r>
                    <w:rPr>
                      <w:sz w:val="24"/>
                    </w:rPr>
                    <w:t>）</w:t>
                  </w:r>
                </w:p>
                <w:p w14:paraId="0B5C28EC">
                  <w:pPr>
                    <w:rPr>
                      <w:rFonts w:hint="eastAsia" w:ascii="宋体" w:hAnsi="宋体" w:eastAsia="宋体" w:cs="宋体"/>
                      <w:color w:val="auto"/>
                      <w:sz w:val="21"/>
                      <w:szCs w:val="21"/>
                      <w:highlight w:val="yellow"/>
                    </w:rPr>
                  </w:pPr>
                </w:p>
              </w:tc>
            </w:tr>
            <w:tr w14:paraId="5FFE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249B86C">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8E6086D">
                  <w:pPr>
                    <w:spacing w:line="500" w:lineRule="exact"/>
                    <w:jc w:val="left"/>
                    <w:rPr>
                      <w:rFonts w:hint="eastAsia" w:ascii="宋体" w:hAnsi="宋体" w:eastAsia="宋体" w:cs="宋体"/>
                      <w:color w:val="auto"/>
                      <w:sz w:val="21"/>
                      <w:szCs w:val="21"/>
                      <w:highlight w:val="yellow"/>
                    </w:rPr>
                  </w:pPr>
                  <w:r>
                    <w:rPr>
                      <w:sz w:val="24"/>
                    </w:rPr>
                    <w:t>输出脉冲峰值</w:t>
                  </w:r>
                  <w:r>
                    <w:rPr>
                      <w:rFonts w:hint="eastAsia"/>
                      <w:sz w:val="24"/>
                      <w:lang w:eastAsia="zh-CN"/>
                    </w:rPr>
                    <w:t>：</w:t>
                  </w:r>
                  <w:r>
                    <w:t>空载时输出脉冲的电压峰值不大于 500V</w:t>
                  </w:r>
                </w:p>
              </w:tc>
            </w:tr>
            <w:tr w14:paraId="6376D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BC20615">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0A19BDB">
                  <w:pPr>
                    <w:pStyle w:val="27"/>
                    <w:numPr>
                      <w:ilvl w:val="0"/>
                      <w:numId w:val="0"/>
                    </w:numPr>
                    <w:tabs>
                      <w:tab w:val="left" w:pos="1002"/>
                    </w:tabs>
                    <w:snapToGrid w:val="0"/>
                    <w:spacing w:before="0" w:line="420" w:lineRule="atLeast"/>
                    <w:ind w:left="480" w:leftChars="0" w:right="1402" w:rightChars="0"/>
                    <w:contextualSpacing/>
                    <w:rPr>
                      <w:sz w:val="24"/>
                    </w:rPr>
                  </w:pPr>
                  <w:r>
                    <w:rPr>
                      <w:rFonts w:asciiTheme="minorEastAsia" w:hAnsiTheme="minorEastAsia" w:eastAsiaTheme="minorEastAsia"/>
                      <w:color w:val="auto"/>
                      <w:szCs w:val="21"/>
                      <w:highlight w:val="none"/>
                    </w:rPr>
                    <w:t>▲</w:t>
                  </w:r>
                  <w:r>
                    <w:rPr>
                      <w:sz w:val="24"/>
                    </w:rPr>
                    <w:t>脉冲幅度（强度）</w:t>
                  </w:r>
                </w:p>
                <w:p w14:paraId="3DFC5630">
                  <w:pPr>
                    <w:pStyle w:val="27"/>
                    <w:numPr>
                      <w:ilvl w:val="2"/>
                      <w:numId w:val="1"/>
                    </w:numPr>
                    <w:tabs>
                      <w:tab w:val="left" w:pos="1002"/>
                    </w:tabs>
                    <w:snapToGrid w:val="0"/>
                    <w:spacing w:before="0" w:line="420" w:lineRule="atLeast"/>
                    <w:ind w:left="1" w:leftChars="0" w:right="1402" w:firstLine="479" w:firstLineChars="0"/>
                    <w:contextualSpacing/>
                    <w:rPr>
                      <w:sz w:val="24"/>
                    </w:rPr>
                  </w:pPr>
                  <w:r>
                    <w:rPr>
                      <w:sz w:val="24"/>
                    </w:rPr>
                    <w:t>负载输出时，最大脉冲输出幅度：160V 误差：±20%；</w:t>
                  </w:r>
                  <w:r>
                    <w:rPr>
                      <w:spacing w:val="-12"/>
                      <w:sz w:val="24"/>
                    </w:rPr>
                    <w:t xml:space="preserve">调幅度为 </w:t>
                  </w:r>
                  <w:r>
                    <w:rPr>
                      <w:spacing w:val="-3"/>
                      <w:sz w:val="24"/>
                    </w:rPr>
                    <w:t xml:space="preserve">100%， </w:t>
                  </w:r>
                  <w:r>
                    <w:rPr>
                      <w:sz w:val="24"/>
                    </w:rPr>
                    <w:t>允差为±10%。</w:t>
                  </w:r>
                </w:p>
                <w:p w14:paraId="0670C180">
                  <w:pPr>
                    <w:pStyle w:val="27"/>
                    <w:numPr>
                      <w:ilvl w:val="2"/>
                      <w:numId w:val="1"/>
                    </w:numPr>
                    <w:tabs>
                      <w:tab w:val="left" w:pos="1002"/>
                    </w:tabs>
                    <w:snapToGrid w:val="0"/>
                    <w:spacing w:before="0" w:line="420" w:lineRule="atLeast"/>
                    <w:ind w:left="481" w:leftChars="0" w:right="3803" w:firstLine="0" w:firstLineChars="0"/>
                    <w:contextualSpacing/>
                    <w:rPr>
                      <w:sz w:val="24"/>
                    </w:rPr>
                  </w:pPr>
                  <w:r>
                    <w:rPr>
                      <w:spacing w:val="-8"/>
                      <w:sz w:val="24"/>
                    </w:rPr>
                    <w:t xml:space="preserve">输出脉冲幅度分 </w:t>
                  </w:r>
                  <w:r>
                    <w:rPr>
                      <w:sz w:val="24"/>
                    </w:rPr>
                    <w:t>190</w:t>
                  </w:r>
                  <w:r>
                    <w:rPr>
                      <w:spacing w:val="-13"/>
                      <w:sz w:val="24"/>
                    </w:rPr>
                    <w:t xml:space="preserve"> 档调节，每档步长小于 </w:t>
                  </w:r>
                  <w:r>
                    <w:rPr>
                      <w:spacing w:val="-6"/>
                      <w:sz w:val="24"/>
                    </w:rPr>
                    <w:t xml:space="preserve">1V； </w:t>
                  </w:r>
                </w:p>
                <w:p w14:paraId="1EAB7D7B">
                  <w:pPr>
                    <w:pStyle w:val="27"/>
                    <w:snapToGrid w:val="0"/>
                    <w:spacing w:before="0" w:line="420" w:lineRule="atLeast"/>
                    <w:ind w:right="3803" w:firstLine="0"/>
                    <w:contextualSpacing/>
                    <w:rPr>
                      <w:sz w:val="24"/>
                    </w:rPr>
                  </w:pPr>
                  <w:r>
                    <w:rPr>
                      <w:sz w:val="24"/>
                    </w:rPr>
                    <w:t>c）</w:t>
                  </w:r>
                  <w:r>
                    <w:rPr>
                      <w:spacing w:val="2"/>
                      <w:sz w:val="24"/>
                    </w:rPr>
                    <w:t>最小输出不超过最大输出的</w:t>
                  </w:r>
                  <w:r>
                    <w:rPr>
                      <w:sz w:val="24"/>
                    </w:rPr>
                    <w:t xml:space="preserve">2%； </w:t>
                  </w:r>
                </w:p>
                <w:p w14:paraId="695371C8">
                  <w:pPr>
                    <w:pStyle w:val="27"/>
                    <w:tabs>
                      <w:tab w:val="left" w:pos="1002"/>
                    </w:tabs>
                    <w:snapToGrid w:val="0"/>
                    <w:spacing w:before="0" w:line="420" w:lineRule="atLeast"/>
                    <w:ind w:right="3803" w:firstLine="0"/>
                    <w:contextualSpacing/>
                    <w:rPr>
                      <w:rFonts w:hint="eastAsia" w:ascii="宋体" w:hAnsi="宋体" w:eastAsia="宋体" w:cs="宋体"/>
                      <w:color w:val="000000"/>
                      <w:sz w:val="21"/>
                      <w:szCs w:val="21"/>
                    </w:rPr>
                  </w:pPr>
                  <w:r>
                    <w:rPr>
                      <w:sz w:val="24"/>
                    </w:rPr>
                    <w:t>d）</w:t>
                  </w:r>
                  <w:r>
                    <w:rPr>
                      <w:spacing w:val="-5"/>
                      <w:sz w:val="24"/>
                    </w:rPr>
                    <w:t xml:space="preserve">最大输出幅度有效值不大于 </w:t>
                  </w:r>
                  <w:r>
                    <w:rPr>
                      <w:sz w:val="24"/>
                    </w:rPr>
                    <w:t>25V。</w:t>
                  </w:r>
                </w:p>
              </w:tc>
            </w:tr>
            <w:tr w14:paraId="3C50C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304BA61">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9B420AC">
                  <w:pPr>
                    <w:pStyle w:val="27"/>
                    <w:numPr>
                      <w:ilvl w:val="0"/>
                      <w:numId w:val="0"/>
                    </w:numPr>
                    <w:tabs>
                      <w:tab w:val="left" w:pos="641"/>
                    </w:tabs>
                    <w:snapToGrid w:val="0"/>
                    <w:spacing w:before="0" w:line="420" w:lineRule="atLeast"/>
                    <w:ind w:leftChars="0"/>
                    <w:contextualSpacing/>
                    <w:rPr>
                      <w:rFonts w:hint="eastAsia"/>
                      <w:sz w:val="24"/>
                      <w:lang w:val="en-US" w:eastAsia="zh-CN"/>
                    </w:rPr>
                  </w:pPr>
                  <w:r>
                    <w:rPr>
                      <w:sz w:val="24"/>
                    </w:rPr>
                    <w:t>脉冲宽度</w:t>
                  </w:r>
                  <w:r>
                    <w:rPr>
                      <w:rFonts w:hint="eastAsia"/>
                      <w:sz w:val="24"/>
                      <w:lang w:val="en-US" w:eastAsia="zh-CN"/>
                    </w:rPr>
                    <w:t>;</w:t>
                  </w:r>
                </w:p>
                <w:p w14:paraId="5F978959">
                  <w:pPr>
                    <w:pStyle w:val="27"/>
                    <w:numPr>
                      <w:ilvl w:val="0"/>
                      <w:numId w:val="0"/>
                    </w:numPr>
                    <w:tabs>
                      <w:tab w:val="left" w:pos="641"/>
                    </w:tabs>
                    <w:snapToGrid w:val="0"/>
                    <w:spacing w:before="0" w:line="420" w:lineRule="atLeast"/>
                    <w:ind w:leftChars="0"/>
                    <w:contextualSpacing/>
                    <w:rPr>
                      <w:rFonts w:hint="eastAsia" w:ascii="宋体" w:hAnsi="宋体" w:eastAsia="宋体" w:cs="宋体"/>
                      <w:color w:val="000000"/>
                      <w:sz w:val="21"/>
                      <w:szCs w:val="21"/>
                    </w:rPr>
                  </w:pPr>
                  <w:r>
                    <w:t>最大脉冲宽度为 10</w:t>
                  </w:r>
                  <w:r>
                    <w:rPr>
                      <w:rFonts w:ascii="Arial" w:hAnsi="Arial" w:eastAsia="Arial"/>
                    </w:rPr>
                    <w:t xml:space="preserve">μ </w:t>
                  </w:r>
                  <w:r>
                    <w:t>s，误差：±30%</w:t>
                  </w:r>
                </w:p>
              </w:tc>
            </w:tr>
            <w:tr w14:paraId="6798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0AC53B8">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872E002">
                  <w:pPr>
                    <w:spacing w:line="500" w:lineRule="exact"/>
                    <w:jc w:val="left"/>
                    <w:rPr>
                      <w:rFonts w:hint="eastAsia"/>
                      <w:sz w:val="24"/>
                      <w:lang w:val="en-US" w:eastAsia="zh-CN"/>
                    </w:rPr>
                  </w:pPr>
                  <w:r>
                    <w:rPr>
                      <w:sz w:val="24"/>
                    </w:rPr>
                    <w:t>基波频率及调制频率</w:t>
                  </w:r>
                  <w:r>
                    <w:rPr>
                      <w:rFonts w:hint="eastAsia"/>
                      <w:sz w:val="24"/>
                      <w:lang w:val="en-US" w:eastAsia="zh-CN"/>
                    </w:rPr>
                    <w:t>:</w:t>
                  </w:r>
                </w:p>
                <w:p w14:paraId="03857FFB">
                  <w:pPr>
                    <w:spacing w:line="500" w:lineRule="exact"/>
                    <w:jc w:val="left"/>
                  </w:pPr>
                  <w:r>
                    <w:t>基波频率为 28KHz，误差：±10%</w:t>
                  </w:r>
                </w:p>
                <w:p w14:paraId="7C983FF7">
                  <w:pPr>
                    <w:spacing w:line="500" w:lineRule="exact"/>
                    <w:jc w:val="left"/>
                    <w:rPr>
                      <w:rFonts w:hint="eastAsia" w:ascii="宋体" w:hAnsi="宋体" w:eastAsia="宋体" w:cs="宋体"/>
                      <w:color w:val="000000"/>
                      <w:sz w:val="21"/>
                      <w:szCs w:val="21"/>
                      <w:lang w:val="en-US" w:eastAsia="zh-CN"/>
                    </w:rPr>
                  </w:pPr>
                  <w:r>
                    <w:t>调制频率为 1Hz，误差：±10%</w:t>
                  </w:r>
                </w:p>
              </w:tc>
            </w:tr>
            <w:tr w14:paraId="35A2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9CF3CCC">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88105D8">
                  <w:pPr>
                    <w:spacing w:line="500" w:lineRule="exact"/>
                    <w:jc w:val="left"/>
                    <w:rPr>
                      <w:rFonts w:hint="eastAsia" w:ascii="宋体" w:hAnsi="宋体" w:eastAsia="宋体" w:cs="宋体"/>
                      <w:color w:val="000000"/>
                      <w:sz w:val="21"/>
                      <w:szCs w:val="21"/>
                    </w:rPr>
                  </w:pPr>
                  <w:r>
                    <w:rPr>
                      <w:spacing w:val="-5"/>
                      <w:sz w:val="24"/>
                    </w:rPr>
                    <w:t>脉冲输出稳定性：治疗仪输出电极处于开路和短路状态后，其脉冲负载最大</w:t>
                  </w:r>
                  <w:r>
                    <w:rPr>
                      <w:spacing w:val="-8"/>
                      <w:sz w:val="24"/>
                    </w:rPr>
                    <w:t xml:space="preserve">输出幅度保持为 </w:t>
                  </w:r>
                  <w:r>
                    <w:rPr>
                      <w:sz w:val="24"/>
                    </w:rPr>
                    <w:t>160V,误差：±20%。</w:t>
                  </w:r>
                </w:p>
              </w:tc>
            </w:tr>
            <w:tr w14:paraId="3356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47ACA2A">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F537385">
                  <w:pPr>
                    <w:pStyle w:val="7"/>
                    <w:snapToGrid w:val="0"/>
                    <w:spacing w:before="0" w:line="420" w:lineRule="atLeast"/>
                    <w:ind w:right="2240"/>
                    <w:contextualSpacing/>
                    <w:rPr>
                      <w:rFonts w:hint="eastAsia"/>
                      <w:sz w:val="24"/>
                      <w:lang w:val="en-US" w:eastAsia="zh-CN"/>
                    </w:rPr>
                  </w:pPr>
                  <w:r>
                    <w:rPr>
                      <w:sz w:val="24"/>
                    </w:rPr>
                    <w:t>输出电流</w:t>
                  </w:r>
                  <w:r>
                    <w:rPr>
                      <w:rFonts w:hint="eastAsia"/>
                      <w:sz w:val="24"/>
                      <w:lang w:val="en-US" w:eastAsia="zh-CN"/>
                    </w:rPr>
                    <w:t>:</w:t>
                  </w:r>
                </w:p>
                <w:p w14:paraId="0E96F3A1">
                  <w:pPr>
                    <w:pStyle w:val="7"/>
                    <w:snapToGrid w:val="0"/>
                    <w:spacing w:before="0" w:line="420" w:lineRule="atLeast"/>
                    <w:ind w:right="2240"/>
                    <w:contextualSpacing/>
                  </w:pPr>
                  <w:r>
                    <w:rPr>
                      <w:spacing w:val="-30"/>
                    </w:rPr>
                    <w:t xml:space="preserve">在 </w:t>
                  </w:r>
                  <w:r>
                    <w:t>500</w:t>
                  </w:r>
                  <w:r>
                    <w:rPr>
                      <w:rFonts w:ascii="Arial" w:hAnsi="Arial" w:eastAsia="Arial"/>
                    </w:rPr>
                    <w:t>Ω</w:t>
                  </w:r>
                  <w:r>
                    <w:rPr>
                      <w:rFonts w:ascii="Arial" w:hAnsi="Arial" w:eastAsia="Arial"/>
                      <w:spacing w:val="-7"/>
                    </w:rPr>
                    <w:t xml:space="preserve">  </w:t>
                  </w:r>
                  <w:r>
                    <w:rPr>
                      <w:spacing w:val="-4"/>
                    </w:rPr>
                    <w:t xml:space="preserve">的负载电阻下，输出电流不超过 </w:t>
                  </w:r>
                  <w:r>
                    <w:t>100mA</w:t>
                  </w:r>
                </w:p>
                <w:p w14:paraId="55ED06A0">
                  <w:pPr>
                    <w:rPr>
                      <w:rFonts w:hint="eastAsia" w:ascii="宋体" w:hAnsi="宋体" w:eastAsia="宋体" w:cs="宋体"/>
                      <w:color w:val="000000"/>
                      <w:sz w:val="21"/>
                      <w:szCs w:val="21"/>
                    </w:rPr>
                  </w:pPr>
                  <w:r>
                    <w:rPr>
                      <w:spacing w:val="-3"/>
                    </w:rPr>
                    <w:t xml:space="preserve">输出电流稳定度：不同负载下的输出电流变化率应不大于 </w:t>
                  </w:r>
                  <w:r>
                    <w:t>10%</w:t>
                  </w:r>
                </w:p>
              </w:tc>
            </w:tr>
            <w:tr w14:paraId="3B03B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29DDB2D">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D213C6E">
                  <w:pPr>
                    <w:pStyle w:val="27"/>
                    <w:numPr>
                      <w:ilvl w:val="0"/>
                      <w:numId w:val="0"/>
                    </w:numPr>
                    <w:tabs>
                      <w:tab w:val="left" w:pos="641"/>
                    </w:tabs>
                    <w:snapToGrid w:val="0"/>
                    <w:spacing w:before="0" w:line="420" w:lineRule="atLeast"/>
                    <w:ind w:leftChars="0"/>
                    <w:contextualSpacing/>
                    <w:rPr>
                      <w:rFonts w:hint="eastAsia"/>
                      <w:sz w:val="24"/>
                      <w:lang w:val="en-US" w:eastAsia="zh-CN"/>
                    </w:rPr>
                  </w:pPr>
                  <w:r>
                    <w:rPr>
                      <w:sz w:val="24"/>
                    </w:rPr>
                    <w:t>输出波形</w:t>
                  </w:r>
                  <w:r>
                    <w:rPr>
                      <w:rFonts w:hint="eastAsia"/>
                      <w:sz w:val="24"/>
                      <w:lang w:val="en-US" w:eastAsia="zh-CN"/>
                    </w:rPr>
                    <w:t xml:space="preserve">:    </w:t>
                  </w:r>
                </w:p>
                <w:p w14:paraId="2222C0C2">
                  <w:pPr>
                    <w:pStyle w:val="27"/>
                    <w:numPr>
                      <w:ilvl w:val="0"/>
                      <w:numId w:val="0"/>
                    </w:numPr>
                    <w:tabs>
                      <w:tab w:val="left" w:pos="641"/>
                    </w:tabs>
                    <w:snapToGrid w:val="0"/>
                    <w:spacing w:before="0" w:line="420" w:lineRule="atLeast"/>
                    <w:ind w:leftChars="0"/>
                    <w:contextualSpacing/>
                    <w:rPr>
                      <w:rFonts w:hint="eastAsia" w:eastAsia="宋体"/>
                      <w:sz w:val="24"/>
                      <w:lang w:val="en-US" w:eastAsia="zh-CN"/>
                    </w:rPr>
                  </w:pPr>
                  <w:r>
                    <w:rPr>
                      <w:rFonts w:hint="eastAsia"/>
                      <w:sz w:val="24"/>
                      <w:lang w:val="en-US" w:eastAsia="zh-CN"/>
                    </w:rPr>
                    <w:t>基波波形为正</w:t>
                  </w:r>
                  <w:r>
                    <w:t>弦</w:t>
                  </w:r>
                  <w:r>
                    <w:rPr>
                      <w:rFonts w:hint="eastAsia"/>
                      <w:lang w:eastAsia="zh-CN"/>
                    </w:rPr>
                    <w:t>半波</w:t>
                  </w:r>
                </w:p>
                <w:p w14:paraId="1208206D">
                  <w:pPr>
                    <w:spacing w:line="500" w:lineRule="exact"/>
                    <w:jc w:val="left"/>
                    <w:rPr>
                      <w:rFonts w:hint="eastAsia" w:ascii="宋体" w:hAnsi="宋体" w:eastAsia="宋体" w:cs="宋体"/>
                      <w:color w:val="000000"/>
                      <w:sz w:val="21"/>
                      <w:szCs w:val="21"/>
                    </w:rPr>
                  </w:pPr>
                  <w:r>
                    <w:t>调制波波形为方波</w:t>
                  </w:r>
                </w:p>
              </w:tc>
            </w:tr>
            <w:tr w14:paraId="654F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131CE31">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60B31AFD">
                  <w:pPr>
                    <w:pStyle w:val="27"/>
                    <w:numPr>
                      <w:ilvl w:val="0"/>
                      <w:numId w:val="1"/>
                    </w:numPr>
                    <w:tabs>
                      <w:tab w:val="left" w:pos="401"/>
                    </w:tabs>
                    <w:snapToGrid w:val="0"/>
                    <w:spacing w:before="0" w:line="420" w:lineRule="atLeast"/>
                    <w:ind w:left="241" w:leftChars="0" w:hanging="241" w:firstLineChars="0"/>
                    <w:contextualSpacing/>
                    <w:rPr>
                      <w:sz w:val="24"/>
                    </w:rPr>
                  </w:pPr>
                  <w:r>
                    <w:rPr>
                      <w:sz w:val="24"/>
                    </w:rPr>
                    <w:t>治疗仪治疗时间及顺序</w:t>
                  </w:r>
                </w:p>
                <w:p w14:paraId="7CE2BEA6">
                  <w:pPr>
                    <w:pStyle w:val="27"/>
                    <w:numPr>
                      <w:ilvl w:val="0"/>
                      <w:numId w:val="0"/>
                    </w:numPr>
                    <w:tabs>
                      <w:tab w:val="left" w:pos="1002"/>
                    </w:tabs>
                    <w:snapToGrid w:val="0"/>
                    <w:spacing w:before="0" w:line="420" w:lineRule="atLeast"/>
                    <w:contextualSpacing/>
                    <w:rPr>
                      <w:sz w:val="24"/>
                    </w:rPr>
                  </w:pPr>
                  <w:r>
                    <w:rPr>
                      <w:spacing w:val="-5"/>
                      <w:sz w:val="24"/>
                    </w:rPr>
                    <w:t xml:space="preserve">每路定时治疗时间最大为 </w:t>
                  </w:r>
                  <w:r>
                    <w:rPr>
                      <w:sz w:val="24"/>
                    </w:rPr>
                    <w:t>240s±2s，倒计时;</w:t>
                  </w:r>
                </w:p>
                <w:p w14:paraId="0B59BA7B">
                  <w:pPr>
                    <w:pStyle w:val="27"/>
                    <w:numPr>
                      <w:ilvl w:val="0"/>
                      <w:numId w:val="0"/>
                    </w:numPr>
                    <w:tabs>
                      <w:tab w:val="left" w:pos="1002"/>
                    </w:tabs>
                    <w:snapToGrid w:val="0"/>
                    <w:spacing w:before="0" w:line="420" w:lineRule="atLeast"/>
                    <w:ind w:right="1436" w:rightChars="0"/>
                    <w:contextualSpacing/>
                    <w:rPr>
                      <w:sz w:val="24"/>
                    </w:rPr>
                  </w:pPr>
                  <w:r>
                    <w:rPr>
                      <w:rFonts w:asciiTheme="minorEastAsia" w:hAnsiTheme="minorEastAsia" w:eastAsiaTheme="minorEastAsia"/>
                      <w:color w:val="auto"/>
                      <w:szCs w:val="21"/>
                      <w:highlight w:val="none"/>
                    </w:rPr>
                    <w:t>▲</w:t>
                  </w:r>
                  <w:r>
                    <w:rPr>
                      <w:spacing w:val="-7"/>
                      <w:sz w:val="24"/>
                    </w:rPr>
                    <w:t xml:space="preserve">治疗仪脉冲输出共 </w:t>
                  </w:r>
                  <w:r>
                    <w:rPr>
                      <w:sz w:val="24"/>
                    </w:rPr>
                    <w:t>8</w:t>
                  </w:r>
                  <w:r>
                    <w:rPr>
                      <w:spacing w:val="-20"/>
                      <w:sz w:val="24"/>
                    </w:rPr>
                    <w:t xml:space="preserve"> 路输出，其中 </w:t>
                  </w:r>
                  <w:r>
                    <w:rPr>
                      <w:sz w:val="24"/>
                    </w:rPr>
                    <w:t>1</w:t>
                  </w:r>
                  <w:r>
                    <w:rPr>
                      <w:spacing w:val="-30"/>
                      <w:sz w:val="24"/>
                    </w:rPr>
                    <w:t xml:space="preserve"> 号</w:t>
                  </w:r>
                  <w:r>
                    <w:rPr>
                      <w:sz w:val="24"/>
                    </w:rPr>
                    <w:t>～8</w:t>
                  </w:r>
                  <w:r>
                    <w:rPr>
                      <w:spacing w:val="-10"/>
                      <w:sz w:val="24"/>
                    </w:rPr>
                    <w:t xml:space="preserve"> 号为治疗电极，</w:t>
                  </w:r>
                  <w:r>
                    <w:rPr>
                      <w:spacing w:val="-16"/>
                      <w:sz w:val="24"/>
                    </w:rPr>
                    <w:t>9</w:t>
                  </w:r>
                  <w:r>
                    <w:rPr>
                      <w:spacing w:val="-12"/>
                      <w:sz w:val="24"/>
                    </w:rPr>
                    <w:t xml:space="preserve"> 号为公共</w:t>
                  </w:r>
                  <w:r>
                    <w:rPr>
                      <w:spacing w:val="-9"/>
                      <w:sz w:val="24"/>
                    </w:rPr>
                    <w:t xml:space="preserve">端电极。治疗开始后，由第 </w:t>
                  </w:r>
                  <w:r>
                    <w:rPr>
                      <w:sz w:val="24"/>
                    </w:rPr>
                    <w:t>1</w:t>
                  </w:r>
                  <w:r>
                    <w:rPr>
                      <w:spacing w:val="-24"/>
                      <w:sz w:val="24"/>
                    </w:rPr>
                    <w:t xml:space="preserve"> 路至第 </w:t>
                  </w:r>
                  <w:r>
                    <w:rPr>
                      <w:sz w:val="24"/>
                    </w:rPr>
                    <w:t>8</w:t>
                  </w:r>
                  <w:r>
                    <w:rPr>
                      <w:spacing w:val="-8"/>
                      <w:sz w:val="24"/>
                    </w:rPr>
                    <w:t xml:space="preserve"> 路依次自动转换。</w:t>
                  </w:r>
                </w:p>
                <w:p w14:paraId="6954A5DD">
                  <w:pPr>
                    <w:tabs>
                      <w:tab w:val="left" w:pos="401"/>
                    </w:tabs>
                    <w:snapToGrid w:val="0"/>
                    <w:spacing w:line="420" w:lineRule="atLeast"/>
                    <w:ind w:firstLine="105" w:firstLineChars="50"/>
                    <w:contextualSpacing/>
                    <w:rPr>
                      <w:rFonts w:hint="eastAsia" w:ascii="宋体" w:hAnsi="宋体" w:eastAsia="宋体" w:cs="宋体"/>
                      <w:color w:val="000000"/>
                      <w:sz w:val="21"/>
                      <w:szCs w:val="21"/>
                    </w:rPr>
                  </w:pPr>
                  <w:r>
                    <w:rPr>
                      <w:rFonts w:asciiTheme="minorEastAsia" w:hAnsiTheme="minorEastAsia" w:eastAsiaTheme="minorEastAsia"/>
                      <w:color w:val="auto"/>
                      <w:szCs w:val="21"/>
                      <w:highlight w:val="none"/>
                    </w:rPr>
                    <w:t>▲</w:t>
                  </w:r>
                  <w:r>
                    <w:rPr>
                      <w:rFonts w:hint="eastAsia"/>
                      <w:sz w:val="24"/>
                    </w:rPr>
                    <w:t>4具有</w:t>
                  </w:r>
                  <w:r>
                    <w:rPr>
                      <w:sz w:val="24"/>
                    </w:rPr>
                    <w:t>毫米波</w:t>
                  </w:r>
                  <w:r>
                    <w:rPr>
                      <w:rFonts w:hint="eastAsia"/>
                      <w:sz w:val="24"/>
                    </w:rPr>
                    <w:t>照射功能</w:t>
                  </w:r>
                </w:p>
              </w:tc>
            </w:tr>
          </w:tbl>
          <w:p w14:paraId="697381AA">
            <w:pPr>
              <w:pStyle w:val="12"/>
            </w:pPr>
          </w:p>
        </w:tc>
      </w:tr>
      <w:tr w14:paraId="71DE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62EE6BA3">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56581A5F">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7832B0E8">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9D51F4A">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3EF8B9D8">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54498B53">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0FE535AC">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904F77B">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123A10DB">
            <w:pPr>
              <w:pStyle w:val="7"/>
              <w:rPr>
                <w:color w:val="auto"/>
              </w:rPr>
            </w:pPr>
          </w:p>
          <w:p w14:paraId="3F44A238">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3F8F0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55EEFA79">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6F99BFC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57020AD0">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6397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496C7D29">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2D4B2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8FB3167">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6C9B8987">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328162D4">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411A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43FD9E7">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2720AFBC">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45B2C64B">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3</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7A44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1B3FF66">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16905544">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4B2A7BB9">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4E38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133EA48">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1A14CBEE">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7FB9D5D8">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0F2E5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0383D85">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76B4FD37">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2E8C4689">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5CE1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C98D862">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1AD1895B">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303EF3C1">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612F4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6BE134F">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7932161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34F2B44C">
                  <w:pPr>
                    <w:rPr>
                      <w:rFonts w:hint="eastAsia" w:ascii="宋体" w:hAnsi="宋体" w:cs="宋体"/>
                      <w:color w:val="auto"/>
                      <w:szCs w:val="21"/>
                    </w:rPr>
                  </w:pPr>
                  <w:r>
                    <w:rPr>
                      <w:rFonts w:hint="eastAsia" w:cs="宋体" w:asciiTheme="minorEastAsia" w:hAnsiTheme="minorEastAsia" w:eastAsiaTheme="minorEastAsia"/>
                      <w:b w:val="0"/>
                      <w:bCs/>
                      <w:color w:val="auto"/>
                      <w:szCs w:val="21"/>
                      <w:highlight w:val="none"/>
                    </w:rPr>
                    <w:t>★</w:t>
                  </w:r>
                  <w:r>
                    <w:rPr>
                      <w:rFonts w:hint="eastAsia" w:ascii="宋体" w:hAnsi="宋体" w:cs="宋体"/>
                      <w:b w:val="0"/>
                      <w:bCs/>
                      <w:color w:val="auto"/>
                      <w:highlight w:val="none"/>
                    </w:rPr>
                    <w:t>承诺</w:t>
                  </w:r>
                  <w:r>
                    <w:rPr>
                      <w:rFonts w:hint="eastAsia" w:ascii="宋体" w:hAnsi="宋体" w:cs="宋体"/>
                      <w:b w:val="0"/>
                      <w:bCs/>
                      <w:color w:val="auto"/>
                      <w:highlight w:val="none"/>
                      <w:lang w:eastAsia="zh-CN"/>
                    </w:rPr>
                    <w:t>可</w:t>
                  </w:r>
                  <w:r>
                    <w:rPr>
                      <w:rFonts w:hint="eastAsia" w:ascii="宋体" w:hAnsi="宋体" w:cs="宋体"/>
                      <w:b w:val="0"/>
                      <w:bCs/>
                      <w:color w:val="auto"/>
                      <w:highlight w:val="none"/>
                    </w:rPr>
                    <w:t>在</w:t>
                  </w:r>
                  <w:r>
                    <w:rPr>
                      <w:rFonts w:ascii="宋体" w:hAnsi="宋体" w:eastAsia="宋体" w:cs="宋体"/>
                      <w:b w:val="0"/>
                      <w:bCs/>
                      <w:color w:val="auto"/>
                      <w:sz w:val="21"/>
                      <w:szCs w:val="21"/>
                      <w:highlight w:val="none"/>
                    </w:rPr>
                    <w:t>深圳医用耗材阳光交易和监管平台</w:t>
                  </w:r>
                  <w:r>
                    <w:rPr>
                      <w:rFonts w:hint="eastAsia" w:ascii="宋体" w:hAnsi="宋体" w:cs="宋体"/>
                      <w:b w:val="0"/>
                      <w:bCs/>
                      <w:color w:val="auto"/>
                      <w:sz w:val="21"/>
                      <w:szCs w:val="21"/>
                      <w:highlight w:val="none"/>
                    </w:rPr>
                    <w:t>上</w:t>
                  </w:r>
                  <w:r>
                    <w:rPr>
                      <w:rFonts w:hint="eastAsia" w:ascii="宋体" w:hAnsi="宋体" w:cs="宋体"/>
                      <w:b w:val="0"/>
                      <w:bCs/>
                      <w:color w:val="auto"/>
                      <w:highlight w:val="none"/>
                    </w:rPr>
                    <w:t>采购仪器配套封闭试剂及耗材，并承诺提供深圳市内最低供货价</w:t>
                  </w:r>
                  <w:r>
                    <w:rPr>
                      <w:rFonts w:hint="eastAsia" w:ascii="宋体" w:hAnsi="宋体" w:cs="宋体"/>
                      <w:b/>
                      <w:bCs w:val="0"/>
                      <w:color w:val="auto"/>
                      <w:highlight w:val="none"/>
                    </w:rPr>
                    <w:t>（提供承诺函，承诺函格式自定）。</w:t>
                  </w:r>
                </w:p>
              </w:tc>
            </w:tr>
            <w:tr w14:paraId="472D3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F50984B">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1D27A4F6">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1D430968">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02CE1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DF4C980">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1347FEEF">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74C15216">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685C2B1C">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1D85E8EF">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4058C0A3">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3D4DB07C">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009D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285DEEEE">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5E5A120C">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5CB9A9A6">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62BA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69AE5355">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7AFA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686A51C7">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240DEA33">
                  <w:pPr>
                    <w:rPr>
                      <w:rFonts w:asciiTheme="minorEastAsia" w:hAnsiTheme="minorEastAsia" w:eastAsiaTheme="minorEastAsia"/>
                      <w:b/>
                      <w:color w:val="auto"/>
                      <w:szCs w:val="21"/>
                      <w:highlight w:val="none"/>
                    </w:rPr>
                  </w:pPr>
                </w:p>
              </w:tc>
              <w:tc>
                <w:tcPr>
                  <w:tcW w:w="3377" w:type="pct"/>
                </w:tcPr>
                <w:p w14:paraId="6514714B">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147F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0BB37ECC">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1DBB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63D61582">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770CC26C">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375AD973">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1B49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4A53FC63">
                  <w:pPr>
                    <w:jc w:val="center"/>
                    <w:rPr>
                      <w:rFonts w:hint="eastAsia" w:asciiTheme="minorEastAsia" w:hAnsiTheme="minorEastAsia" w:eastAsiaTheme="minorEastAsia"/>
                      <w:b/>
                      <w:color w:val="auto"/>
                      <w:szCs w:val="21"/>
                    </w:rPr>
                  </w:pPr>
                </w:p>
              </w:tc>
              <w:tc>
                <w:tcPr>
                  <w:tcW w:w="917" w:type="pct"/>
                  <w:vMerge w:val="continue"/>
                  <w:vAlign w:val="center"/>
                </w:tcPr>
                <w:p w14:paraId="387DBEBC">
                  <w:pPr>
                    <w:jc w:val="center"/>
                    <w:rPr>
                      <w:rFonts w:hint="eastAsia" w:asciiTheme="minorEastAsia" w:hAnsiTheme="minorEastAsia" w:eastAsiaTheme="minorEastAsia"/>
                      <w:color w:val="auto"/>
                      <w:szCs w:val="21"/>
                    </w:rPr>
                  </w:pPr>
                </w:p>
              </w:tc>
              <w:tc>
                <w:tcPr>
                  <w:tcW w:w="3377" w:type="pct"/>
                </w:tcPr>
                <w:p w14:paraId="56D80E74">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0648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5B3F8FB2">
                  <w:pPr>
                    <w:jc w:val="center"/>
                    <w:rPr>
                      <w:rFonts w:asciiTheme="minorEastAsia" w:hAnsiTheme="minorEastAsia" w:eastAsiaTheme="minorEastAsia"/>
                      <w:b/>
                      <w:color w:val="auto"/>
                      <w:szCs w:val="21"/>
                    </w:rPr>
                  </w:pPr>
                </w:p>
              </w:tc>
              <w:tc>
                <w:tcPr>
                  <w:tcW w:w="917" w:type="pct"/>
                  <w:vMerge w:val="continue"/>
                  <w:vAlign w:val="center"/>
                </w:tcPr>
                <w:p w14:paraId="3C04FD7A">
                  <w:pPr>
                    <w:jc w:val="center"/>
                    <w:rPr>
                      <w:rFonts w:asciiTheme="minorEastAsia" w:hAnsiTheme="minorEastAsia" w:eastAsiaTheme="minorEastAsia"/>
                      <w:color w:val="auto"/>
                      <w:szCs w:val="21"/>
                    </w:rPr>
                  </w:pPr>
                </w:p>
              </w:tc>
              <w:tc>
                <w:tcPr>
                  <w:tcW w:w="3377" w:type="pct"/>
                </w:tcPr>
                <w:p w14:paraId="571BE487">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4DCA9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6B22D374">
                  <w:pPr>
                    <w:jc w:val="center"/>
                    <w:rPr>
                      <w:rFonts w:asciiTheme="minorEastAsia" w:hAnsiTheme="minorEastAsia" w:eastAsiaTheme="minorEastAsia"/>
                      <w:b/>
                      <w:color w:val="auto"/>
                      <w:szCs w:val="21"/>
                    </w:rPr>
                  </w:pPr>
                </w:p>
              </w:tc>
              <w:tc>
                <w:tcPr>
                  <w:tcW w:w="917" w:type="pct"/>
                  <w:vMerge w:val="continue"/>
                  <w:vAlign w:val="center"/>
                </w:tcPr>
                <w:p w14:paraId="748812E9">
                  <w:pPr>
                    <w:jc w:val="center"/>
                    <w:rPr>
                      <w:rFonts w:asciiTheme="minorEastAsia" w:hAnsiTheme="minorEastAsia" w:eastAsiaTheme="minorEastAsia"/>
                      <w:color w:val="auto"/>
                      <w:szCs w:val="21"/>
                    </w:rPr>
                  </w:pPr>
                </w:p>
              </w:tc>
              <w:tc>
                <w:tcPr>
                  <w:tcW w:w="3377" w:type="pct"/>
                </w:tcPr>
                <w:p w14:paraId="394A753B">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2398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B970DB9">
                  <w:pPr>
                    <w:jc w:val="center"/>
                    <w:rPr>
                      <w:rFonts w:asciiTheme="minorEastAsia" w:hAnsiTheme="minorEastAsia" w:eastAsiaTheme="minorEastAsia"/>
                      <w:b/>
                      <w:color w:val="auto"/>
                      <w:szCs w:val="21"/>
                    </w:rPr>
                  </w:pPr>
                </w:p>
              </w:tc>
              <w:tc>
                <w:tcPr>
                  <w:tcW w:w="917" w:type="pct"/>
                  <w:vMerge w:val="continue"/>
                  <w:vAlign w:val="center"/>
                </w:tcPr>
                <w:p w14:paraId="4D24EB33">
                  <w:pPr>
                    <w:jc w:val="center"/>
                    <w:rPr>
                      <w:rFonts w:asciiTheme="minorEastAsia" w:hAnsiTheme="minorEastAsia" w:eastAsiaTheme="minorEastAsia"/>
                      <w:color w:val="auto"/>
                      <w:szCs w:val="21"/>
                    </w:rPr>
                  </w:pPr>
                </w:p>
              </w:tc>
              <w:tc>
                <w:tcPr>
                  <w:tcW w:w="3377" w:type="pct"/>
                </w:tcPr>
                <w:p w14:paraId="0EB9243F">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7918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4E97A504">
                  <w:pPr>
                    <w:jc w:val="center"/>
                    <w:rPr>
                      <w:rFonts w:asciiTheme="minorEastAsia" w:hAnsiTheme="minorEastAsia" w:eastAsiaTheme="minorEastAsia"/>
                      <w:b/>
                      <w:color w:val="auto"/>
                      <w:szCs w:val="21"/>
                    </w:rPr>
                  </w:pPr>
                </w:p>
              </w:tc>
              <w:tc>
                <w:tcPr>
                  <w:tcW w:w="917" w:type="pct"/>
                  <w:vMerge w:val="continue"/>
                  <w:vAlign w:val="center"/>
                </w:tcPr>
                <w:p w14:paraId="3F6C3012">
                  <w:pPr>
                    <w:jc w:val="center"/>
                    <w:rPr>
                      <w:rFonts w:asciiTheme="minorEastAsia" w:hAnsiTheme="minorEastAsia" w:eastAsiaTheme="minorEastAsia"/>
                      <w:color w:val="auto"/>
                      <w:szCs w:val="21"/>
                    </w:rPr>
                  </w:pPr>
                </w:p>
              </w:tc>
              <w:tc>
                <w:tcPr>
                  <w:tcW w:w="3377" w:type="pct"/>
                </w:tcPr>
                <w:p w14:paraId="5BA6D669">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1701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198DB7B5">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3EDDE9BB">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740F0835">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0FC5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C272B0B">
                  <w:pPr>
                    <w:jc w:val="center"/>
                    <w:rPr>
                      <w:rFonts w:asciiTheme="minorEastAsia" w:hAnsiTheme="minorEastAsia" w:eastAsiaTheme="minorEastAsia"/>
                      <w:b/>
                      <w:color w:val="auto"/>
                      <w:szCs w:val="21"/>
                    </w:rPr>
                  </w:pPr>
                </w:p>
              </w:tc>
              <w:tc>
                <w:tcPr>
                  <w:tcW w:w="917" w:type="pct"/>
                  <w:vMerge w:val="continue"/>
                  <w:vAlign w:val="center"/>
                </w:tcPr>
                <w:p w14:paraId="67757837">
                  <w:pPr>
                    <w:jc w:val="center"/>
                    <w:rPr>
                      <w:rFonts w:asciiTheme="minorEastAsia" w:hAnsiTheme="minorEastAsia" w:eastAsiaTheme="minorEastAsia"/>
                      <w:b/>
                      <w:color w:val="auto"/>
                      <w:szCs w:val="21"/>
                    </w:rPr>
                  </w:pPr>
                </w:p>
              </w:tc>
              <w:tc>
                <w:tcPr>
                  <w:tcW w:w="3377" w:type="pct"/>
                </w:tcPr>
                <w:p w14:paraId="128A4142">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011E1470">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747FF7A8">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5FDF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53491278">
                  <w:pPr>
                    <w:jc w:val="center"/>
                    <w:rPr>
                      <w:rFonts w:asciiTheme="minorEastAsia" w:hAnsiTheme="minorEastAsia" w:eastAsiaTheme="minorEastAsia"/>
                      <w:b/>
                      <w:color w:val="auto"/>
                      <w:szCs w:val="21"/>
                    </w:rPr>
                  </w:pPr>
                </w:p>
              </w:tc>
              <w:tc>
                <w:tcPr>
                  <w:tcW w:w="917" w:type="pct"/>
                  <w:vMerge w:val="continue"/>
                  <w:vAlign w:val="center"/>
                </w:tcPr>
                <w:p w14:paraId="24393555">
                  <w:pPr>
                    <w:jc w:val="center"/>
                    <w:rPr>
                      <w:rFonts w:asciiTheme="minorEastAsia" w:hAnsiTheme="minorEastAsia" w:eastAsiaTheme="minorEastAsia"/>
                      <w:b/>
                      <w:color w:val="auto"/>
                      <w:szCs w:val="21"/>
                    </w:rPr>
                  </w:pPr>
                </w:p>
              </w:tc>
              <w:tc>
                <w:tcPr>
                  <w:tcW w:w="3377" w:type="pct"/>
                </w:tcPr>
                <w:p w14:paraId="17530B1D">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4DA6D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51BDD4EF">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4A8216A3">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540D438C">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474CD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5B105AF0">
                  <w:pPr>
                    <w:jc w:val="center"/>
                    <w:rPr>
                      <w:rFonts w:hint="eastAsia" w:asciiTheme="minorEastAsia" w:hAnsiTheme="minorEastAsia" w:eastAsiaTheme="minorEastAsia"/>
                      <w:b/>
                      <w:color w:val="auto"/>
                      <w:szCs w:val="21"/>
                    </w:rPr>
                  </w:pPr>
                </w:p>
              </w:tc>
              <w:tc>
                <w:tcPr>
                  <w:tcW w:w="917" w:type="pct"/>
                  <w:vMerge w:val="continue"/>
                  <w:vAlign w:val="center"/>
                </w:tcPr>
                <w:p w14:paraId="79E3BD80">
                  <w:pPr>
                    <w:jc w:val="center"/>
                    <w:rPr>
                      <w:rFonts w:hint="eastAsia" w:asciiTheme="minorEastAsia" w:hAnsiTheme="minorEastAsia" w:eastAsiaTheme="minorEastAsia"/>
                      <w:color w:val="auto"/>
                      <w:szCs w:val="21"/>
                    </w:rPr>
                  </w:pPr>
                </w:p>
              </w:tc>
              <w:tc>
                <w:tcPr>
                  <w:tcW w:w="3377" w:type="pct"/>
                </w:tcPr>
                <w:p w14:paraId="24D14151">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7A0B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12E34DC9">
                  <w:pPr>
                    <w:jc w:val="center"/>
                    <w:rPr>
                      <w:rFonts w:hint="eastAsia" w:asciiTheme="minorEastAsia" w:hAnsiTheme="minorEastAsia" w:eastAsiaTheme="minorEastAsia"/>
                      <w:b/>
                      <w:color w:val="auto"/>
                      <w:szCs w:val="21"/>
                    </w:rPr>
                  </w:pPr>
                </w:p>
              </w:tc>
              <w:tc>
                <w:tcPr>
                  <w:tcW w:w="917" w:type="pct"/>
                  <w:vMerge w:val="continue"/>
                  <w:vAlign w:val="center"/>
                </w:tcPr>
                <w:p w14:paraId="29FE798C">
                  <w:pPr>
                    <w:jc w:val="center"/>
                    <w:rPr>
                      <w:rFonts w:hint="eastAsia" w:asciiTheme="minorEastAsia" w:hAnsiTheme="minorEastAsia" w:eastAsiaTheme="minorEastAsia"/>
                      <w:color w:val="auto"/>
                      <w:szCs w:val="21"/>
                    </w:rPr>
                  </w:pPr>
                </w:p>
              </w:tc>
              <w:tc>
                <w:tcPr>
                  <w:tcW w:w="3377" w:type="pct"/>
                </w:tcPr>
                <w:p w14:paraId="1C528F35">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3419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49030D64">
                  <w:pPr>
                    <w:jc w:val="center"/>
                    <w:rPr>
                      <w:rFonts w:hint="eastAsia" w:asciiTheme="minorEastAsia" w:hAnsiTheme="minorEastAsia" w:eastAsiaTheme="minorEastAsia"/>
                      <w:b/>
                      <w:color w:val="auto"/>
                      <w:szCs w:val="21"/>
                    </w:rPr>
                  </w:pPr>
                </w:p>
              </w:tc>
              <w:tc>
                <w:tcPr>
                  <w:tcW w:w="917" w:type="pct"/>
                  <w:vMerge w:val="continue"/>
                  <w:vAlign w:val="center"/>
                </w:tcPr>
                <w:p w14:paraId="08AD1756">
                  <w:pPr>
                    <w:jc w:val="center"/>
                    <w:rPr>
                      <w:rFonts w:hint="eastAsia" w:asciiTheme="minorEastAsia" w:hAnsiTheme="minorEastAsia" w:eastAsiaTheme="minorEastAsia"/>
                      <w:color w:val="auto"/>
                      <w:szCs w:val="21"/>
                    </w:rPr>
                  </w:pPr>
                </w:p>
              </w:tc>
              <w:tc>
                <w:tcPr>
                  <w:tcW w:w="3377" w:type="pct"/>
                </w:tcPr>
                <w:p w14:paraId="78C1583C">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7B7C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5FEABF1F">
                  <w:pPr>
                    <w:jc w:val="center"/>
                    <w:rPr>
                      <w:rFonts w:hint="eastAsia" w:asciiTheme="minorEastAsia" w:hAnsiTheme="minorEastAsia" w:eastAsiaTheme="minorEastAsia"/>
                      <w:b/>
                      <w:color w:val="auto"/>
                      <w:szCs w:val="21"/>
                    </w:rPr>
                  </w:pPr>
                </w:p>
              </w:tc>
              <w:tc>
                <w:tcPr>
                  <w:tcW w:w="917" w:type="pct"/>
                  <w:vMerge w:val="continue"/>
                  <w:vAlign w:val="center"/>
                </w:tcPr>
                <w:p w14:paraId="6E8DA74E">
                  <w:pPr>
                    <w:jc w:val="center"/>
                    <w:rPr>
                      <w:rFonts w:hint="eastAsia" w:asciiTheme="minorEastAsia" w:hAnsiTheme="minorEastAsia" w:eastAsiaTheme="minorEastAsia"/>
                      <w:color w:val="auto"/>
                      <w:szCs w:val="21"/>
                    </w:rPr>
                  </w:pPr>
                </w:p>
              </w:tc>
              <w:tc>
                <w:tcPr>
                  <w:tcW w:w="3377" w:type="pct"/>
                </w:tcPr>
                <w:p w14:paraId="6D7B1EF1">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32148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27299FBE">
                  <w:pPr>
                    <w:jc w:val="center"/>
                    <w:rPr>
                      <w:rFonts w:asciiTheme="minorEastAsia" w:hAnsiTheme="minorEastAsia" w:eastAsiaTheme="minorEastAsia"/>
                      <w:b/>
                      <w:color w:val="auto"/>
                      <w:szCs w:val="21"/>
                    </w:rPr>
                  </w:pPr>
                </w:p>
              </w:tc>
              <w:tc>
                <w:tcPr>
                  <w:tcW w:w="917" w:type="pct"/>
                  <w:vMerge w:val="continue"/>
                  <w:vAlign w:val="center"/>
                </w:tcPr>
                <w:p w14:paraId="45CDCE01">
                  <w:pPr>
                    <w:jc w:val="center"/>
                    <w:rPr>
                      <w:rFonts w:asciiTheme="minorEastAsia" w:hAnsiTheme="minorEastAsia" w:eastAsiaTheme="minorEastAsia"/>
                      <w:color w:val="auto"/>
                      <w:szCs w:val="21"/>
                    </w:rPr>
                  </w:pPr>
                </w:p>
              </w:tc>
              <w:tc>
                <w:tcPr>
                  <w:tcW w:w="3377" w:type="pct"/>
                </w:tcPr>
                <w:p w14:paraId="6ED2C2AD">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07E75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BEF95D1">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36B8D8B8">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63C9EDC2">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06A5DED1">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2C8B5532">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0E37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3038482F">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64531DDE">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1558A28D">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131E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6D303FBC">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7B7EAAF4">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37E7172B">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2DD85CB9">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129BE7A5">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577F3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01B07B87">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3304B40F">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0E4BD10B">
                  <w:pPr>
                    <w:numPr>
                      <w:ilvl w:val="0"/>
                      <w:numId w:val="2"/>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3D8FFDAE">
                  <w:pPr>
                    <w:numPr>
                      <w:ilvl w:val="0"/>
                      <w:numId w:val="3"/>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时间：</w:t>
                  </w:r>
                  <w:r>
                    <w:rPr>
                      <w:rFonts w:hint="eastAsia" w:ascii="宋体" w:hAnsi="宋体"/>
                      <w:szCs w:val="21"/>
                      <w:highlight w:val="none"/>
                      <w:lang w:eastAsia="zh-CN"/>
                    </w:rPr>
                    <w:t>收到中标通知书后</w:t>
                  </w:r>
                  <w:r>
                    <w:rPr>
                      <w:rFonts w:hint="eastAsia" w:ascii="宋体" w:hAnsi="宋体"/>
                      <w:szCs w:val="21"/>
                      <w:highlight w:val="none"/>
                    </w:rPr>
                    <w:t>；</w:t>
                  </w:r>
                </w:p>
                <w:p w14:paraId="15166399">
                  <w:pPr>
                    <w:numPr>
                      <w:ilvl w:val="0"/>
                      <w:numId w:val="3"/>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金额：合同（成交）金额的</w:t>
                  </w:r>
                  <w:r>
                    <w:rPr>
                      <w:rFonts w:hint="eastAsia" w:ascii="宋体" w:hAnsi="宋体"/>
                      <w:szCs w:val="21"/>
                      <w:highlight w:val="none"/>
                      <w:u w:val="single"/>
                      <w:lang w:val="en-US" w:eastAsia="zh-CN"/>
                    </w:rPr>
                    <w:t xml:space="preserve">   5   </w:t>
                  </w:r>
                  <w:r>
                    <w:rPr>
                      <w:rFonts w:hint="eastAsia" w:ascii="宋体" w:hAnsi="宋体"/>
                      <w:szCs w:val="21"/>
                      <w:highlight w:val="none"/>
                    </w:rPr>
                    <w:t>%；</w:t>
                  </w:r>
                </w:p>
                <w:p w14:paraId="173EFCF2">
                  <w:pPr>
                    <w:numPr>
                      <w:ilvl w:val="0"/>
                      <w:numId w:val="3"/>
                    </w:numPr>
                    <w:tabs>
                      <w:tab w:val="clear" w:pos="8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方式：中标人自主选择；</w:t>
                  </w:r>
                </w:p>
                <w:p w14:paraId="0C6AE1D8">
                  <w:pPr>
                    <w:numPr>
                      <w:ilvl w:val="0"/>
                      <w:numId w:val="2"/>
                    </w:numPr>
                    <w:adjustRightInd w:val="0"/>
                    <w:snapToGrid w:val="0"/>
                    <w:spacing w:line="360" w:lineRule="auto"/>
                    <w:rPr>
                      <w:rFonts w:hint="eastAsia" w:ascii="宋体" w:hAnsi="宋体"/>
                      <w:szCs w:val="21"/>
                    </w:rPr>
                  </w:pPr>
                  <w:r>
                    <w:rPr>
                      <w:rFonts w:hint="eastAsia" w:ascii="宋体" w:hAnsi="宋体"/>
                      <w:szCs w:val="21"/>
                    </w:rPr>
                    <w:t>退还说明：</w:t>
                  </w:r>
                </w:p>
                <w:p w14:paraId="21D2B72F">
                  <w:pPr>
                    <w:numPr>
                      <w:ilvl w:val="0"/>
                      <w:numId w:val="4"/>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0FB64318">
                  <w:pPr>
                    <w:numPr>
                      <w:ilvl w:val="0"/>
                      <w:numId w:val="4"/>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违约责任：采购人逾期退还履约保证金的，除应当退还履约保证金本金外，还应当每日按合同总价的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7800B26C">
                  <w:pPr>
                    <w:numPr>
                      <w:ilvl w:val="0"/>
                      <w:numId w:val="4"/>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color w:val="auto"/>
                      <w:szCs w:val="21"/>
                    </w:rPr>
                    <w:t>中标人违反合同及其附件约定的任何义务，采购人有权在履约保证金中直接扣除</w:t>
                  </w:r>
                  <w:r>
                    <w:rPr>
                      <w:rFonts w:hint="eastAsia" w:ascii="宋体" w:hAnsi="宋体" w:cs="宋体"/>
                      <w:bCs/>
                      <w:color w:val="auto"/>
                      <w:szCs w:val="21"/>
                      <w:highlight w:val="none"/>
                    </w:rPr>
                    <w:t>投标人</w:t>
                  </w:r>
                  <w:r>
                    <w:rPr>
                      <w:rFonts w:hint="eastAsia" w:ascii="宋体" w:hAnsi="宋体"/>
                      <w:color w:val="auto"/>
                      <w:szCs w:val="21"/>
                    </w:rPr>
                    <w:t>应向采购人支付的违约金或损失赔偿额，如有不足的，中标人应</w:t>
                  </w:r>
                  <w:r>
                    <w:rPr>
                      <w:rFonts w:hint="eastAsia" w:ascii="宋体" w:hAnsi="宋体"/>
                      <w:szCs w:val="21"/>
                    </w:rPr>
                    <w:t>对超过的部分予以赔偿。</w:t>
                  </w:r>
                </w:p>
              </w:tc>
            </w:tr>
            <w:tr w14:paraId="5EF0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0B231BA9">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0852CCA5">
                  <w:pPr>
                    <w:rPr>
                      <w:rFonts w:cs="Times New Roman" w:asciiTheme="minorEastAsia" w:hAnsiTheme="minorEastAsia" w:eastAsiaTheme="minorEastAsia"/>
                      <w:b/>
                      <w:kern w:val="2"/>
                      <w:sz w:val="21"/>
                      <w:szCs w:val="21"/>
                      <w:lang w:val="en-US" w:eastAsia="zh-CN" w:bidi="ar-SA"/>
                    </w:rPr>
                  </w:pPr>
                </w:p>
              </w:tc>
              <w:tc>
                <w:tcPr>
                  <w:tcW w:w="3377" w:type="pct"/>
                  <w:vAlign w:val="center"/>
                </w:tcPr>
                <w:p w14:paraId="4D08A6C2">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0BAA1789">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10A47288">
      <w:pPr>
        <w:pStyle w:val="12"/>
        <w:rPr>
          <w:rFonts w:hint="eastAsia"/>
        </w:rPr>
      </w:pPr>
    </w:p>
    <w:p w14:paraId="7E3659BA">
      <w:pPr>
        <w:rPr>
          <w:rFonts w:hint="eastAsia" w:ascii="宋体" w:hAnsi="宋体"/>
          <w:b/>
          <w:color w:val="FF0000"/>
          <w:sz w:val="32"/>
          <w:szCs w:val="32"/>
        </w:rPr>
      </w:pPr>
      <w:r>
        <w:rPr>
          <w:rFonts w:hint="eastAsia" w:ascii="宋体" w:hAnsi="宋体"/>
          <w:b/>
          <w:color w:val="FF0000"/>
          <w:sz w:val="32"/>
          <w:szCs w:val="32"/>
        </w:rPr>
        <w:br w:type="page"/>
      </w:r>
    </w:p>
    <w:p w14:paraId="4A713755">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06459737">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3E18E82A">
            <w:pPr>
              <w:rPr>
                <w:b/>
                <w:bCs/>
                <w:color w:val="FF0000"/>
              </w:rPr>
            </w:pPr>
            <w:r>
              <w:rPr>
                <w:rFonts w:hint="eastAsia"/>
                <w:b/>
                <w:bCs/>
                <w:color w:val="FF0000"/>
              </w:rPr>
              <w:t xml:space="preserve">    </w:t>
            </w:r>
          </w:p>
          <w:p w14:paraId="3EEE7F1B">
            <w:pPr>
              <w:ind w:firstLine="422" w:firstLineChars="200"/>
              <w:rPr>
                <w:b/>
                <w:bCs/>
                <w:color w:val="FF0000"/>
              </w:rPr>
            </w:pPr>
            <w:r>
              <w:rPr>
                <w:rFonts w:hint="eastAsia"/>
                <w:b/>
                <w:bCs/>
                <w:color w:val="FF0000"/>
              </w:rPr>
              <w:t>一、</w:t>
            </w:r>
            <w:r>
              <w:rPr>
                <w:b/>
                <w:bCs/>
                <w:color w:val="FF0000"/>
              </w:rPr>
              <w:t>评标方法：综合评分法（新价格分算法）</w:t>
            </w:r>
          </w:p>
        </w:tc>
      </w:tr>
      <w:tr w14:paraId="5F503D77">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1B47842B">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7229D21A">
            <w:r>
              <w:rPr>
                <w:rFonts w:hint="eastAsia"/>
              </w:rPr>
              <w:t xml:space="preserve">    </w:t>
            </w:r>
            <w:r>
              <w:t>价格分计算方法：</w:t>
            </w:r>
          </w:p>
          <w:p w14:paraId="21D749D6">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586AC20C">
      <w:pPr>
        <w:rPr>
          <w:b/>
          <w:bCs/>
          <w:color w:val="FF0000"/>
        </w:rPr>
      </w:pPr>
    </w:p>
    <w:p w14:paraId="309186F2">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4561F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00F66866">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4625D12B">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7ABFFB25">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276809BF">
            <w:pPr>
              <w:ind w:left="-78" w:leftChars="-37" w:right="-73" w:rightChars="-35"/>
              <w:jc w:val="center"/>
              <w:rPr>
                <w:rFonts w:ascii="宋体" w:hAnsi="宋体" w:cs="宋体"/>
                <w:b/>
                <w:szCs w:val="21"/>
              </w:rPr>
            </w:pPr>
            <w:r>
              <w:rPr>
                <w:rFonts w:hint="eastAsia" w:ascii="宋体" w:hAnsi="宋体" w:cs="宋体"/>
                <w:b/>
                <w:szCs w:val="21"/>
              </w:rPr>
              <w:t>分值（分）</w:t>
            </w:r>
          </w:p>
        </w:tc>
      </w:tr>
      <w:tr w14:paraId="34AE18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762A3DB2">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0BBFD3C6">
            <w:pPr>
              <w:ind w:left="-78" w:leftChars="-37" w:right="-73" w:rightChars="-35"/>
              <w:jc w:val="center"/>
              <w:rPr>
                <w:rFonts w:ascii="宋体" w:hAnsi="宋体" w:cs="宋体"/>
                <w:b/>
                <w:szCs w:val="21"/>
              </w:rPr>
            </w:pPr>
            <w:r>
              <w:rPr>
                <w:rFonts w:hint="eastAsia" w:ascii="宋体" w:hAnsi="宋体" w:cs="宋体"/>
                <w:b/>
                <w:szCs w:val="21"/>
              </w:rPr>
              <w:t>技术部分（55分）</w:t>
            </w:r>
          </w:p>
        </w:tc>
      </w:tr>
      <w:tr w14:paraId="17AE1B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62C3A6BF">
            <w:pPr>
              <w:pStyle w:val="29"/>
              <w:numPr>
                <w:ilvl w:val="0"/>
                <w:numId w:val="5"/>
              </w:numPr>
              <w:ind w:firstLineChars="0"/>
              <w:jc w:val="right"/>
              <w:rPr>
                <w:rFonts w:ascii="宋体" w:hAnsi="宋体" w:cs="宋体"/>
                <w:szCs w:val="21"/>
              </w:rPr>
            </w:pPr>
          </w:p>
        </w:tc>
        <w:tc>
          <w:tcPr>
            <w:tcW w:w="1202" w:type="dxa"/>
            <w:noWrap w:val="0"/>
            <w:vAlign w:val="center"/>
          </w:tcPr>
          <w:p w14:paraId="1222E16F">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5E4785C0">
            <w:pPr>
              <w:pStyle w:val="29"/>
              <w:spacing w:line="360" w:lineRule="exact"/>
              <w:ind w:firstLine="0" w:firstLineChars="0"/>
              <w:rPr>
                <w:rFonts w:ascii="宋体" w:hAnsi="宋体" w:cs="宋体"/>
                <w:szCs w:val="21"/>
              </w:rPr>
            </w:pPr>
            <w:r>
              <w:rPr>
                <w:rFonts w:hint="eastAsia" w:ascii="宋体" w:hAnsi="宋体"/>
                <w:szCs w:val="21"/>
              </w:rPr>
              <w:t>一、评分内容：</w:t>
            </w:r>
          </w:p>
          <w:p w14:paraId="2D9B6BB1">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10C781E3">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r>
              <w:rPr>
                <w:rFonts w:hint="eastAsia" w:ascii="宋体" w:hAnsi="宋体" w:cs="宋体"/>
                <w:color w:val="auto"/>
                <w:szCs w:val="21"/>
              </w:rPr>
              <w:t>分</w:t>
            </w:r>
          </w:p>
          <w:p w14:paraId="4556B560">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r>
              <w:rPr>
                <w:rFonts w:hint="eastAsia" w:ascii="宋体" w:hAnsi="宋体" w:cs="宋体"/>
                <w:color w:val="auto"/>
                <w:szCs w:val="21"/>
              </w:rPr>
              <w:t>分</w:t>
            </w:r>
          </w:p>
          <w:p w14:paraId="095C30FF">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73D07DA0">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656AF042">
            <w:pPr>
              <w:ind w:left="-78" w:leftChars="-37" w:right="-73" w:rightChars="-35"/>
              <w:jc w:val="center"/>
              <w:rPr>
                <w:rFonts w:hint="eastAsia" w:ascii="宋体" w:hAnsi="宋体" w:eastAsia="宋体" w:cs="宋体"/>
                <w:szCs w:val="21"/>
                <w:lang w:eastAsia="zh-CN"/>
              </w:rPr>
            </w:pPr>
            <w:r>
              <w:rPr>
                <w:rFonts w:hint="eastAsia" w:ascii="宋体" w:hAnsi="宋体" w:cs="宋体"/>
                <w:szCs w:val="21"/>
                <w:highlight w:val="yellow"/>
              </w:rPr>
              <w:t>5</w:t>
            </w:r>
            <w:r>
              <w:rPr>
                <w:rFonts w:hint="eastAsia" w:ascii="宋体" w:hAnsi="宋体" w:cs="宋体"/>
                <w:szCs w:val="21"/>
                <w:highlight w:val="yellow"/>
                <w:lang w:val="en-US" w:eastAsia="zh-CN"/>
              </w:rPr>
              <w:t>1</w:t>
            </w:r>
          </w:p>
        </w:tc>
      </w:tr>
      <w:tr w14:paraId="20699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7C660BB4">
            <w:pPr>
              <w:pStyle w:val="29"/>
              <w:numPr>
                <w:ilvl w:val="0"/>
                <w:numId w:val="5"/>
              </w:numPr>
              <w:ind w:firstLineChars="0"/>
              <w:jc w:val="right"/>
              <w:rPr>
                <w:rFonts w:ascii="宋体" w:hAnsi="宋体" w:cs="宋体"/>
                <w:szCs w:val="21"/>
              </w:rPr>
            </w:pPr>
          </w:p>
        </w:tc>
        <w:tc>
          <w:tcPr>
            <w:tcW w:w="1202" w:type="dxa"/>
            <w:noWrap w:val="0"/>
            <w:vAlign w:val="center"/>
          </w:tcPr>
          <w:p w14:paraId="59D95517">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27B9B291">
            <w:pPr>
              <w:pStyle w:val="5"/>
              <w:ind w:firstLine="0"/>
              <w:rPr>
                <w:rFonts w:ascii="宋体" w:hAnsi="宋体" w:cs="宋体"/>
              </w:rPr>
            </w:pPr>
            <w:r>
              <w:rPr>
                <w:rFonts w:hint="eastAsia" w:ascii="宋体" w:hAnsi="宋体" w:cs="宋体"/>
                <w:sz w:val="21"/>
                <w:szCs w:val="21"/>
              </w:rPr>
              <w:t>投标人需提供售后服务方案，包括但不限于：</w:t>
            </w:r>
          </w:p>
          <w:p w14:paraId="13C2D140">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5FE376DD">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0E0D63CA">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1292BE57">
            <w:pPr>
              <w:pStyle w:val="5"/>
              <w:ind w:firstLine="0"/>
              <w:rPr>
                <w:rFonts w:ascii="宋体" w:hAnsi="宋体" w:cs="宋体"/>
              </w:rPr>
            </w:pPr>
            <w:r>
              <w:rPr>
                <w:rFonts w:hint="eastAsia" w:ascii="宋体" w:hAnsi="宋体" w:cs="宋体"/>
                <w:sz w:val="21"/>
                <w:szCs w:val="21"/>
              </w:rPr>
              <w:t>一、投标人提供上述3项内容得3分；</w:t>
            </w:r>
          </w:p>
          <w:p w14:paraId="21368A02">
            <w:pPr>
              <w:pStyle w:val="5"/>
              <w:ind w:firstLine="0"/>
              <w:rPr>
                <w:rFonts w:ascii="宋体" w:hAnsi="宋体" w:cs="宋体"/>
              </w:rPr>
            </w:pPr>
            <w:r>
              <w:rPr>
                <w:rFonts w:hint="eastAsia" w:ascii="宋体" w:hAnsi="宋体" w:cs="宋体"/>
                <w:sz w:val="21"/>
                <w:szCs w:val="21"/>
              </w:rPr>
              <w:t>提供上述任意1-2项内容得1分；不提供不得分。</w:t>
            </w:r>
          </w:p>
          <w:p w14:paraId="0D137761">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6D0B6E2C">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621A4525">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0DCE2199">
            <w:pPr>
              <w:pStyle w:val="5"/>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6922B093">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4</w:t>
            </w:r>
          </w:p>
        </w:tc>
      </w:tr>
      <w:tr w14:paraId="25CA2B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0AD43946">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1E24FD3E">
            <w:pPr>
              <w:ind w:left="-78" w:leftChars="-37" w:right="-73" w:rightChars="-35"/>
              <w:jc w:val="center"/>
              <w:rPr>
                <w:rFonts w:ascii="宋体" w:hAnsi="宋体" w:cs="宋体"/>
                <w:b/>
                <w:szCs w:val="21"/>
              </w:rPr>
            </w:pPr>
            <w:r>
              <w:rPr>
                <w:rFonts w:hint="eastAsia" w:ascii="宋体" w:hAnsi="宋体" w:cs="宋体"/>
                <w:b/>
                <w:szCs w:val="21"/>
              </w:rPr>
              <w:t>商务部分（15分）</w:t>
            </w:r>
          </w:p>
        </w:tc>
      </w:tr>
      <w:tr w14:paraId="5AF43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37CDEE4D">
            <w:pPr>
              <w:pStyle w:val="29"/>
              <w:numPr>
                <w:ilvl w:val="0"/>
                <w:numId w:val="6"/>
              </w:numPr>
              <w:ind w:firstLineChars="0"/>
              <w:jc w:val="center"/>
              <w:rPr>
                <w:rFonts w:ascii="宋体" w:hAnsi="宋体" w:cs="宋体"/>
                <w:szCs w:val="21"/>
              </w:rPr>
            </w:pPr>
          </w:p>
        </w:tc>
        <w:tc>
          <w:tcPr>
            <w:tcW w:w="1202" w:type="dxa"/>
            <w:noWrap w:val="0"/>
            <w:vAlign w:val="center"/>
          </w:tcPr>
          <w:p w14:paraId="236C28A3">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694D3459">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7AF1AE7F">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09AF9BB0">
            <w:pPr>
              <w:ind w:left="-78" w:leftChars="-37" w:right="-73" w:rightChars="-35"/>
              <w:jc w:val="center"/>
              <w:rPr>
                <w:rFonts w:ascii="宋体" w:hAnsi="宋体" w:cs="宋体"/>
                <w:szCs w:val="21"/>
              </w:rPr>
            </w:pPr>
            <w:r>
              <w:rPr>
                <w:rFonts w:hint="eastAsia" w:ascii="宋体" w:hAnsi="宋体" w:cs="宋体"/>
                <w:szCs w:val="21"/>
              </w:rPr>
              <w:t>12</w:t>
            </w:r>
          </w:p>
        </w:tc>
      </w:tr>
      <w:tr w14:paraId="3C140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69E8B225">
            <w:pPr>
              <w:pStyle w:val="29"/>
              <w:numPr>
                <w:ilvl w:val="0"/>
                <w:numId w:val="6"/>
              </w:numPr>
              <w:ind w:firstLineChars="0"/>
              <w:jc w:val="center"/>
              <w:rPr>
                <w:rFonts w:ascii="宋体" w:hAnsi="宋体" w:cs="宋体"/>
                <w:szCs w:val="21"/>
              </w:rPr>
            </w:pPr>
          </w:p>
        </w:tc>
        <w:tc>
          <w:tcPr>
            <w:tcW w:w="1202" w:type="dxa"/>
            <w:noWrap w:val="0"/>
            <w:vAlign w:val="center"/>
          </w:tcPr>
          <w:p w14:paraId="786BBB44">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2AEF7DA2">
            <w:pPr>
              <w:wordWrap w:val="0"/>
              <w:textAlignment w:val="top"/>
              <w:rPr>
                <w:rFonts w:ascii="宋体" w:hAnsi="宋体" w:cs="宋体"/>
                <w:color w:val="F79646"/>
                <w:szCs w:val="21"/>
              </w:rPr>
            </w:pPr>
            <w:r>
              <w:rPr>
                <w:rFonts w:hint="eastAsia" w:ascii="宋体" w:hAnsi="宋体" w:cs="宋体"/>
                <w:color w:val="F79646"/>
                <w:szCs w:val="21"/>
              </w:rPr>
              <w:t>一、评分内容：</w:t>
            </w:r>
          </w:p>
          <w:p w14:paraId="3E95DD76">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投标人2022年1月1日至投标截止时间前具备同类业绩的（以发票或合同签订时间为准），每提供1项得1分，本项最高得3分，不提供不得分。</w:t>
            </w:r>
          </w:p>
          <w:p w14:paraId="7469ADDF">
            <w:pPr>
              <w:wordWrap w:val="0"/>
              <w:textAlignment w:val="top"/>
              <w:rPr>
                <w:rFonts w:ascii="宋体" w:hAnsi="宋体" w:cs="宋体"/>
                <w:color w:val="F79646"/>
                <w:szCs w:val="21"/>
              </w:rPr>
            </w:pPr>
            <w:r>
              <w:rPr>
                <w:rFonts w:hint="eastAsia" w:ascii="宋体" w:hAnsi="宋体" w:cs="宋体"/>
                <w:color w:val="F79646"/>
                <w:szCs w:val="21"/>
              </w:rPr>
              <w:t>二、评分依据：</w:t>
            </w:r>
          </w:p>
          <w:p w14:paraId="243A6F1E">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4DBDF04A">
            <w:pPr>
              <w:pStyle w:val="30"/>
              <w:rPr>
                <w:color w:val="F79646"/>
              </w:rPr>
            </w:pPr>
            <w:r>
              <w:rPr>
                <w:rFonts w:hint="eastAsia" w:ascii="宋体" w:hAnsi="宋体" w:cs="宋体"/>
                <w:bCs w:val="0"/>
                <w:color w:val="F79646"/>
                <w:sz w:val="21"/>
                <w:szCs w:val="21"/>
              </w:rPr>
              <w:t>2.提供发票或中标、成交通知书作为证明文件</w:t>
            </w:r>
          </w:p>
          <w:p w14:paraId="42302229">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39C87070">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51642B52">
            <w:pPr>
              <w:ind w:left="-78" w:leftChars="-37" w:right="-73" w:rightChars="-35"/>
              <w:jc w:val="center"/>
              <w:rPr>
                <w:rFonts w:ascii="宋体" w:hAnsi="宋体" w:cs="宋体"/>
                <w:szCs w:val="21"/>
              </w:rPr>
            </w:pPr>
            <w:r>
              <w:rPr>
                <w:rFonts w:hint="eastAsia" w:ascii="宋体" w:hAnsi="宋体" w:cs="宋体"/>
                <w:szCs w:val="21"/>
              </w:rPr>
              <w:t>3</w:t>
            </w:r>
          </w:p>
        </w:tc>
      </w:tr>
      <w:tr w14:paraId="12A8CB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79366D90">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09036763">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132404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23A872FE">
            <w:pPr>
              <w:jc w:val="center"/>
              <w:rPr>
                <w:rFonts w:ascii="宋体" w:hAnsi="宋体" w:cs="宋体"/>
                <w:szCs w:val="21"/>
              </w:rPr>
            </w:pPr>
            <w:r>
              <w:rPr>
                <w:rFonts w:hint="eastAsia" w:ascii="宋体" w:hAnsi="宋体" w:cs="宋体"/>
                <w:szCs w:val="21"/>
              </w:rPr>
              <w:t>1</w:t>
            </w:r>
          </w:p>
        </w:tc>
        <w:tc>
          <w:tcPr>
            <w:tcW w:w="1202" w:type="dxa"/>
            <w:noWrap w:val="0"/>
            <w:vAlign w:val="center"/>
          </w:tcPr>
          <w:p w14:paraId="41A70864">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3E2FEB1C">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02BE28B0">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7616ABEB">
            <w:pPr>
              <w:widowControl/>
              <w:jc w:val="left"/>
              <w:rPr>
                <w:rFonts w:ascii="宋体" w:hAnsi="宋体" w:cs="宋体"/>
                <w:szCs w:val="21"/>
              </w:rPr>
            </w:pPr>
            <w:r>
              <w:rPr>
                <w:rFonts w:hint="eastAsia" w:ascii="宋体" w:hAnsi="宋体" w:cs="宋体"/>
                <w:szCs w:val="21"/>
              </w:rPr>
              <w:t>备注：</w:t>
            </w:r>
          </w:p>
          <w:p w14:paraId="16F3594C">
            <w:pPr>
              <w:widowControl/>
              <w:jc w:val="left"/>
              <w:rPr>
                <w:rFonts w:ascii="宋体" w:hAnsi="宋体" w:cs="宋体"/>
                <w:szCs w:val="21"/>
              </w:rPr>
            </w:pPr>
            <w:r>
              <w:rPr>
                <w:rFonts w:hint="eastAsia" w:ascii="宋体" w:hAnsi="宋体" w:cs="宋体"/>
                <w:szCs w:val="21"/>
              </w:rPr>
              <w:t>1、投标报价得分四舍五入后，小数点后保留两位有效数。</w:t>
            </w:r>
          </w:p>
          <w:p w14:paraId="092A22AD">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noWrap w:val="0"/>
            <w:vAlign w:val="center"/>
          </w:tcPr>
          <w:p w14:paraId="6BF6CCD7">
            <w:pPr>
              <w:ind w:left="-78" w:leftChars="-37" w:right="-73" w:rightChars="-35"/>
              <w:jc w:val="center"/>
              <w:rPr>
                <w:rFonts w:ascii="宋体" w:hAnsi="宋体" w:cs="宋体"/>
                <w:szCs w:val="21"/>
              </w:rPr>
            </w:pPr>
            <w:r>
              <w:rPr>
                <w:rFonts w:hint="eastAsia" w:ascii="宋体" w:hAnsi="宋体" w:cs="宋体"/>
                <w:szCs w:val="21"/>
              </w:rPr>
              <w:t>30</w:t>
            </w:r>
          </w:p>
        </w:tc>
      </w:tr>
      <w:tr w14:paraId="5FF701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7F17D1D9">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34000B50">
            <w:pPr>
              <w:ind w:left="-78" w:leftChars="-37" w:right="-73" w:rightChars="-35"/>
              <w:jc w:val="center"/>
              <w:rPr>
                <w:rFonts w:ascii="宋体" w:hAnsi="宋体" w:cs="宋体"/>
                <w:szCs w:val="21"/>
              </w:rPr>
            </w:pPr>
            <w:r>
              <w:rPr>
                <w:rFonts w:hint="eastAsia" w:ascii="宋体" w:hAnsi="宋体" w:cs="宋体"/>
                <w:szCs w:val="21"/>
              </w:rPr>
              <w:t>100</w:t>
            </w:r>
          </w:p>
        </w:tc>
      </w:tr>
    </w:tbl>
    <w:p w14:paraId="1AF6472C">
      <w:pPr>
        <w:pStyle w:val="9"/>
      </w:pPr>
    </w:p>
    <w:p w14:paraId="3DA531A7">
      <w:pPr>
        <w:pStyle w:val="9"/>
      </w:pPr>
    </w:p>
    <w:p w14:paraId="2ED24076">
      <w:pPr>
        <w:pStyle w:val="9"/>
      </w:pPr>
    </w:p>
    <w:p w14:paraId="4D54C297">
      <w:pPr>
        <w:pStyle w:val="9"/>
      </w:pPr>
    </w:p>
    <w:p w14:paraId="20544D5B">
      <w:pPr>
        <w:pStyle w:val="9"/>
      </w:pPr>
    </w:p>
    <w:p w14:paraId="19C9F5EE">
      <w:pPr>
        <w:pStyle w:val="9"/>
      </w:pPr>
    </w:p>
    <w:p w14:paraId="0A549DE5">
      <w:pPr>
        <w:pStyle w:val="9"/>
        <w:ind w:firstLine="4200" w:firstLineChars="1500"/>
        <w:rPr>
          <w:rFonts w:hint="eastAsia"/>
          <w:lang w:eastAsia="zh-CN"/>
        </w:rPr>
      </w:pPr>
      <w:bookmarkStart w:id="0" w:name="_GoBack"/>
      <w:bookmarkEnd w:id="0"/>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方正舒体"/>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4E793A86">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15531D3D">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46FF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41775BCA">
          <w:pPr>
            <w:pStyle w:val="11"/>
            <w:pBdr>
              <w:bottom w:val="none" w:color="auto" w:sz="0" w:space="0"/>
            </w:pBdr>
            <w:jc w:val="left"/>
            <w:rPr>
              <w:rFonts w:hint="eastAsia"/>
              <w:b/>
              <w:sz w:val="28"/>
            </w:rPr>
          </w:pPr>
          <w:r>
            <w:rPr>
              <w:rFonts w:hint="eastAsia"/>
              <w:b/>
              <w:sz w:val="28"/>
            </w:rPr>
            <w:t>科室民主管理小组每页签字：</w:t>
          </w:r>
        </w:p>
        <w:p w14:paraId="1359BE38">
          <w:pPr>
            <w:pStyle w:val="11"/>
            <w:pBdr>
              <w:bottom w:val="none" w:color="auto" w:sz="0" w:space="0"/>
            </w:pBdr>
            <w:jc w:val="left"/>
            <w:rPr>
              <w:rFonts w:hint="eastAsia"/>
              <w:b/>
              <w:sz w:val="28"/>
            </w:rPr>
          </w:pPr>
        </w:p>
        <w:p w14:paraId="2E221805">
          <w:pPr>
            <w:pStyle w:val="11"/>
            <w:pBdr>
              <w:bottom w:val="none" w:color="auto" w:sz="0" w:space="0"/>
            </w:pBdr>
            <w:jc w:val="left"/>
            <w:rPr>
              <w:rFonts w:hint="eastAsia"/>
              <w:b/>
              <w:sz w:val="28"/>
            </w:rPr>
          </w:pPr>
        </w:p>
        <w:p w14:paraId="457E1A82">
          <w:pPr>
            <w:pStyle w:val="11"/>
            <w:pBdr>
              <w:bottom w:val="none" w:color="auto" w:sz="0" w:space="0"/>
            </w:pBdr>
            <w:jc w:val="left"/>
            <w:rPr>
              <w:b/>
            </w:rPr>
          </w:pPr>
          <w:r>
            <w:rPr>
              <w:rFonts w:hint="eastAsia"/>
              <w:b/>
              <w:sz w:val="28"/>
            </w:rPr>
            <w:t xml:space="preserve">                                          日期：</w:t>
          </w:r>
        </w:p>
      </w:tc>
    </w:tr>
  </w:tbl>
  <w:p w14:paraId="2FBB61B3">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241" w:hanging="240"/>
        <w:jc w:val="left"/>
      </w:pPr>
      <w:rPr>
        <w:rFonts w:hint="default" w:ascii="宋体" w:hAnsi="宋体" w:eastAsia="宋体" w:cs="宋体"/>
        <w:w w:val="100"/>
        <w:sz w:val="24"/>
        <w:szCs w:val="24"/>
        <w:lang w:val="zh-CN" w:eastAsia="zh-CN" w:bidi="zh-CN"/>
      </w:rPr>
    </w:lvl>
    <w:lvl w:ilvl="1" w:tentative="0">
      <w:start w:val="1"/>
      <w:numFmt w:val="decimal"/>
      <w:lvlText w:val="%1.%2"/>
      <w:lvlJc w:val="left"/>
      <w:pPr>
        <w:ind w:left="481" w:hanging="480"/>
        <w:jc w:val="left"/>
      </w:pPr>
      <w:rPr>
        <w:rFonts w:hint="default" w:ascii="宋体" w:hAnsi="宋体" w:eastAsia="宋体" w:cs="宋体"/>
        <w:w w:val="100"/>
        <w:sz w:val="24"/>
        <w:szCs w:val="24"/>
        <w:lang w:val="zh-CN" w:eastAsia="zh-CN" w:bidi="zh-CN"/>
      </w:rPr>
    </w:lvl>
    <w:lvl w:ilvl="2" w:tentative="0">
      <w:start w:val="1"/>
      <w:numFmt w:val="lowerLetter"/>
      <w:lvlText w:val="%3）"/>
      <w:lvlJc w:val="left"/>
      <w:pPr>
        <w:ind w:left="1" w:hanging="361"/>
        <w:jc w:val="left"/>
      </w:pPr>
      <w:rPr>
        <w:rFonts w:hint="default" w:ascii="宋体" w:hAnsi="宋体" w:eastAsia="宋体" w:cs="宋体"/>
        <w:spacing w:val="-60"/>
        <w:w w:val="100"/>
        <w:sz w:val="22"/>
        <w:szCs w:val="22"/>
        <w:lang w:val="zh-CN" w:eastAsia="zh-CN" w:bidi="zh-CN"/>
      </w:rPr>
    </w:lvl>
    <w:lvl w:ilvl="3" w:tentative="0">
      <w:start w:val="0"/>
      <w:numFmt w:val="bullet"/>
      <w:lvlText w:val="•"/>
      <w:lvlJc w:val="left"/>
      <w:pPr>
        <w:ind w:left="1639" w:hanging="361"/>
      </w:pPr>
      <w:rPr>
        <w:rFonts w:hint="default"/>
        <w:lang w:val="zh-CN" w:eastAsia="zh-CN" w:bidi="zh-CN"/>
      </w:rPr>
    </w:lvl>
    <w:lvl w:ilvl="4" w:tentative="0">
      <w:start w:val="0"/>
      <w:numFmt w:val="bullet"/>
      <w:lvlText w:val="•"/>
      <w:lvlJc w:val="left"/>
      <w:pPr>
        <w:ind w:left="2797" w:hanging="361"/>
      </w:pPr>
      <w:rPr>
        <w:rFonts w:hint="default"/>
        <w:lang w:val="zh-CN" w:eastAsia="zh-CN" w:bidi="zh-CN"/>
      </w:rPr>
    </w:lvl>
    <w:lvl w:ilvl="5" w:tentative="0">
      <w:start w:val="0"/>
      <w:numFmt w:val="bullet"/>
      <w:lvlText w:val="•"/>
      <w:lvlJc w:val="left"/>
      <w:pPr>
        <w:ind w:left="3955" w:hanging="361"/>
      </w:pPr>
      <w:rPr>
        <w:rFonts w:hint="default"/>
        <w:lang w:val="zh-CN" w:eastAsia="zh-CN" w:bidi="zh-CN"/>
      </w:rPr>
    </w:lvl>
    <w:lvl w:ilvl="6" w:tentative="0">
      <w:start w:val="0"/>
      <w:numFmt w:val="bullet"/>
      <w:lvlText w:val="•"/>
      <w:lvlJc w:val="left"/>
      <w:pPr>
        <w:ind w:left="5114" w:hanging="361"/>
      </w:pPr>
      <w:rPr>
        <w:rFonts w:hint="default"/>
        <w:lang w:val="zh-CN" w:eastAsia="zh-CN" w:bidi="zh-CN"/>
      </w:rPr>
    </w:lvl>
    <w:lvl w:ilvl="7" w:tentative="0">
      <w:start w:val="0"/>
      <w:numFmt w:val="bullet"/>
      <w:lvlText w:val="•"/>
      <w:lvlJc w:val="left"/>
      <w:pPr>
        <w:ind w:left="6272" w:hanging="361"/>
      </w:pPr>
      <w:rPr>
        <w:rFonts w:hint="default"/>
        <w:lang w:val="zh-CN" w:eastAsia="zh-CN" w:bidi="zh-CN"/>
      </w:rPr>
    </w:lvl>
    <w:lvl w:ilvl="8" w:tentative="0">
      <w:start w:val="0"/>
      <w:numFmt w:val="bullet"/>
      <w:lvlText w:val="•"/>
      <w:lvlJc w:val="left"/>
      <w:pPr>
        <w:ind w:left="7430" w:hanging="361"/>
      </w:pPr>
      <w:rPr>
        <w:rFonts w:hint="default"/>
        <w:lang w:val="zh-CN" w:eastAsia="zh-CN" w:bidi="zh-CN"/>
      </w:rPr>
    </w:lvl>
  </w:abstractNum>
  <w:abstractNum w:abstractNumId="1">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2">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3">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5">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 w:name="KY_MEDREF_DOCUID" w:val="{0D68021A-5566-4D14-A6BB-CCB7CF89DDDC}"/>
    <w:docVar w:name="KY_MEDREF_VERSION" w:val="3"/>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6A97510"/>
    <w:rsid w:val="17714346"/>
    <w:rsid w:val="18CE3099"/>
    <w:rsid w:val="191E3DD6"/>
    <w:rsid w:val="19685B09"/>
    <w:rsid w:val="1A3100CD"/>
    <w:rsid w:val="1A5737E1"/>
    <w:rsid w:val="1A9D002E"/>
    <w:rsid w:val="1B49208B"/>
    <w:rsid w:val="1C117414"/>
    <w:rsid w:val="1D1A560A"/>
    <w:rsid w:val="1D4569B7"/>
    <w:rsid w:val="1ECC2689"/>
    <w:rsid w:val="1ED3069A"/>
    <w:rsid w:val="1FC21AF3"/>
    <w:rsid w:val="201B0077"/>
    <w:rsid w:val="20926CAB"/>
    <w:rsid w:val="20BD5F9F"/>
    <w:rsid w:val="21C319BD"/>
    <w:rsid w:val="225E5CFF"/>
    <w:rsid w:val="228322EA"/>
    <w:rsid w:val="22FF23D3"/>
    <w:rsid w:val="248A5117"/>
    <w:rsid w:val="24A872D3"/>
    <w:rsid w:val="2577413D"/>
    <w:rsid w:val="25CE197B"/>
    <w:rsid w:val="25EF6C54"/>
    <w:rsid w:val="267274AD"/>
    <w:rsid w:val="284F0D34"/>
    <w:rsid w:val="28750DBE"/>
    <w:rsid w:val="28F87B6B"/>
    <w:rsid w:val="29295EFB"/>
    <w:rsid w:val="29F05E17"/>
    <w:rsid w:val="2D834187"/>
    <w:rsid w:val="2D842E64"/>
    <w:rsid w:val="2D884E7D"/>
    <w:rsid w:val="2ED75B7E"/>
    <w:rsid w:val="30204B81"/>
    <w:rsid w:val="30724EC2"/>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17F5F74"/>
    <w:rsid w:val="41951E3B"/>
    <w:rsid w:val="425222CB"/>
    <w:rsid w:val="428E5704"/>
    <w:rsid w:val="432B1AFF"/>
    <w:rsid w:val="438B3E46"/>
    <w:rsid w:val="43D04E85"/>
    <w:rsid w:val="44EB5754"/>
    <w:rsid w:val="45114517"/>
    <w:rsid w:val="4521010E"/>
    <w:rsid w:val="457E2DDA"/>
    <w:rsid w:val="45CB30E5"/>
    <w:rsid w:val="460436B8"/>
    <w:rsid w:val="462E3AEE"/>
    <w:rsid w:val="471C1984"/>
    <w:rsid w:val="47C25C55"/>
    <w:rsid w:val="480666C9"/>
    <w:rsid w:val="483372FA"/>
    <w:rsid w:val="486A31E5"/>
    <w:rsid w:val="48F23EB0"/>
    <w:rsid w:val="4A81797A"/>
    <w:rsid w:val="4AF52F9F"/>
    <w:rsid w:val="4AFA62C1"/>
    <w:rsid w:val="4B963383"/>
    <w:rsid w:val="4BE45F52"/>
    <w:rsid w:val="4D277108"/>
    <w:rsid w:val="4D58766E"/>
    <w:rsid w:val="4DAD7A1C"/>
    <w:rsid w:val="4DB27C98"/>
    <w:rsid w:val="4E5E07AB"/>
    <w:rsid w:val="4E7B2EA1"/>
    <w:rsid w:val="4EFC6082"/>
    <w:rsid w:val="4F2933E6"/>
    <w:rsid w:val="4F3A2C72"/>
    <w:rsid w:val="4F4F44DD"/>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C15473"/>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360618"/>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6"/>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annotation text"/>
    <w:basedOn w:val="1"/>
    <w:link w:val="21"/>
    <w:qFormat/>
    <w:uiPriority w:val="0"/>
    <w:pPr>
      <w:jc w:val="left"/>
    </w:pPr>
    <w:rPr>
      <w:rFonts w:asciiTheme="minorHAnsi" w:hAnsiTheme="minorHAnsi" w:eastAsiaTheme="minorEastAsia" w:cstheme="minorBidi"/>
    </w:rPr>
  </w:style>
  <w:style w:type="paragraph" w:styleId="7">
    <w:name w:val="Body Text"/>
    <w:basedOn w:val="1"/>
    <w:next w:val="1"/>
    <w:qFormat/>
    <w:uiPriority w:val="0"/>
    <w:pPr>
      <w:spacing w:after="120"/>
    </w:pPr>
  </w:style>
  <w:style w:type="paragraph" w:styleId="8">
    <w:name w:val="Plain Text"/>
    <w:basedOn w:val="1"/>
    <w:link w:val="24"/>
    <w:qFormat/>
    <w:uiPriority w:val="0"/>
    <w:rPr>
      <w:rFonts w:ascii="宋体" w:hAnsi="Courier New" w:eastAsiaTheme="minorEastAsia" w:cstheme="minorBidi"/>
      <w:szCs w:val="20"/>
    </w:rPr>
  </w:style>
  <w:style w:type="paragraph" w:styleId="9">
    <w:name w:val="endnote text"/>
    <w:basedOn w:val="1"/>
    <w:qFormat/>
    <w:uiPriority w:val="0"/>
    <w:pPr>
      <w:snapToGrid w:val="0"/>
      <w:jc w:val="left"/>
    </w:pPr>
    <w:rPr>
      <w:rFonts w:ascii="宋体" w:hAnsi="宋体"/>
      <w:kern w:val="0"/>
      <w:sz w:val="28"/>
    </w:rPr>
  </w:style>
  <w:style w:type="paragraph" w:styleId="10">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qFormat/>
    <w:uiPriority w:val="0"/>
    <w:rPr>
      <w:rFonts w:ascii="Times New Roman" w:hAnsi="Times New Roman" w:eastAsia="宋体" w:cs="Times New Roman"/>
      <w:b/>
      <w:bCs/>
    </w:rPr>
  </w:style>
  <w:style w:type="character" w:styleId="18">
    <w:name w:val="FollowedHyperlink"/>
    <w:basedOn w:val="17"/>
    <w:qFormat/>
    <w:uiPriority w:val="0"/>
    <w:rPr>
      <w:rFonts w:hint="eastAsia" w:ascii="黑体" w:hAnsi="宋体" w:eastAsia="黑体" w:cs="黑体"/>
      <w:color w:val="000000"/>
      <w:u w:val="none"/>
    </w:rPr>
  </w:style>
  <w:style w:type="character" w:styleId="19">
    <w:name w:val="Hyperlink"/>
    <w:basedOn w:val="17"/>
    <w:qFormat/>
    <w:uiPriority w:val="0"/>
    <w:rPr>
      <w:rFonts w:ascii="黑体" w:hAnsi="宋体" w:eastAsia="黑体" w:cs="黑体"/>
      <w:color w:val="000000"/>
      <w:u w:val="none"/>
    </w:rPr>
  </w:style>
  <w:style w:type="character" w:styleId="20">
    <w:name w:val="annotation reference"/>
    <w:basedOn w:val="17"/>
    <w:qFormat/>
    <w:uiPriority w:val="0"/>
    <w:rPr>
      <w:sz w:val="21"/>
      <w:szCs w:val="21"/>
    </w:rPr>
  </w:style>
  <w:style w:type="character" w:customStyle="1" w:styleId="21">
    <w:name w:val="批注文字 字符"/>
    <w:basedOn w:val="17"/>
    <w:link w:val="6"/>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semiHidden/>
    <w:unhideWhenUsed/>
    <w:qFormat/>
    <w:uiPriority w:val="99"/>
    <w:rPr>
      <w:color w:val="605E5C"/>
      <w:shd w:val="clear" w:color="auto" w:fill="E1DFDD"/>
    </w:rPr>
  </w:style>
  <w:style w:type="character" w:customStyle="1" w:styleId="24">
    <w:name w:val="纯文本 字符"/>
    <w:basedOn w:val="17"/>
    <w:link w:val="8"/>
    <w:qFormat/>
    <w:uiPriority w:val="0"/>
    <w:rPr>
      <w:rFonts w:ascii="宋体" w:hAnsi="Courier New" w:eastAsiaTheme="minorEastAsia" w:cstheme="minorBidi"/>
      <w:kern w:val="2"/>
      <w:sz w:val="21"/>
    </w:rPr>
  </w:style>
  <w:style w:type="character" w:customStyle="1" w:styleId="25">
    <w:name w:val="页眉 字符"/>
    <w:basedOn w:val="17"/>
    <w:link w:val="11"/>
    <w:qFormat/>
    <w:uiPriority w:val="0"/>
    <w:rPr>
      <w:kern w:val="2"/>
      <w:sz w:val="18"/>
      <w:szCs w:val="18"/>
    </w:rPr>
  </w:style>
  <w:style w:type="character" w:customStyle="1" w:styleId="26">
    <w:name w:val="标题 3 字符"/>
    <w:basedOn w:val="17"/>
    <w:link w:val="3"/>
    <w:semiHidden/>
    <w:qFormat/>
    <w:uiPriority w:val="0"/>
    <w:rPr>
      <w:b/>
      <w:bCs/>
      <w:kern w:val="2"/>
      <w:sz w:val="32"/>
      <w:szCs w:val="32"/>
    </w:rPr>
  </w:style>
  <w:style w:type="paragraph" w:styleId="27">
    <w:name w:val="List Paragraph"/>
    <w:basedOn w:val="1"/>
    <w:qFormat/>
    <w:uiPriority w:val="99"/>
    <w:pPr>
      <w:ind w:firstLine="420" w:firstLineChars="200"/>
    </w:pPr>
  </w:style>
  <w:style w:type="paragraph" w:customStyle="1" w:styleId="28">
    <w:name w:val=".."/>
    <w:basedOn w:val="1"/>
    <w:next w:val="1"/>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qFormat/>
    <w:uiPriority w:val="34"/>
    <w:pPr>
      <w:ind w:firstLine="420" w:firstLineChars="200"/>
    </w:pPr>
    <w:rPr>
      <w:szCs w:val="24"/>
    </w:rPr>
  </w:style>
  <w:style w:type="paragraph" w:customStyle="1" w:styleId="30">
    <w:name w:val="表格文字"/>
    <w:basedOn w:val="1"/>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5712</Words>
  <Characters>5902</Characters>
  <Lines>4</Lines>
  <Paragraphs>10</Paragraphs>
  <TotalTime>1</TotalTime>
  <ScaleCrop>false</ScaleCrop>
  <LinksUpToDate>false</LinksUpToDate>
  <CharactersWithSpaces>6042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ML</cp:lastModifiedBy>
  <dcterms:modified xsi:type="dcterms:W3CDTF">2025-04-16T03:20:19Z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15B9EBB6E19F4EDEB3920D6F29A57898_13</vt:lpwstr>
  </property>
  <property fmtid="{D5CDD505-2E9C-101B-9397-08002B2CF9AE}" pid="4" name="KSOTemplateDocerSaveRecord">
    <vt:lpwstr>eyJoZGlkIjoiMjQ1OWIzOTVlMWY1ZTMyODIyNmQ4NzJlNDcxYjA4MzkiLCJ1c2VySWQiOiIzNzA4NTY4NTAifQ==</vt:lpwstr>
  </property>
</Properties>
</file>