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8F7CB">
      <w:pPr>
        <w:pStyle w:val="14"/>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36134961">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3439C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2D02EC9C">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项目名称</w:t>
            </w:r>
          </w:p>
        </w:tc>
        <w:tc>
          <w:tcPr>
            <w:tcW w:w="3243" w:type="dxa"/>
            <w:vAlign w:val="center"/>
          </w:tcPr>
          <w:p w14:paraId="4B4DFC18">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贴敷式胰岛素泵</w:t>
            </w:r>
          </w:p>
        </w:tc>
        <w:tc>
          <w:tcPr>
            <w:tcW w:w="1543" w:type="dxa"/>
            <w:vAlign w:val="center"/>
          </w:tcPr>
          <w:p w14:paraId="6E81B69D">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39A94F1F">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4BC48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3D407DD1">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数量</w:t>
            </w:r>
          </w:p>
        </w:tc>
        <w:tc>
          <w:tcPr>
            <w:tcW w:w="3243" w:type="dxa"/>
            <w:vAlign w:val="center"/>
          </w:tcPr>
          <w:p w14:paraId="4F1ED4E5">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8</w:t>
            </w:r>
          </w:p>
        </w:tc>
        <w:tc>
          <w:tcPr>
            <w:tcW w:w="1543" w:type="dxa"/>
            <w:vAlign w:val="center"/>
          </w:tcPr>
          <w:p w14:paraId="4AE35CCD">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0EDC001B">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2452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12DCDC48">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预算限额（万元）</w:t>
            </w:r>
          </w:p>
        </w:tc>
        <w:tc>
          <w:tcPr>
            <w:tcW w:w="3243" w:type="dxa"/>
            <w:vAlign w:val="center"/>
          </w:tcPr>
          <w:p w14:paraId="19DDE29C">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28.8</w:t>
            </w:r>
          </w:p>
        </w:tc>
        <w:tc>
          <w:tcPr>
            <w:tcW w:w="1543" w:type="dxa"/>
            <w:shd w:val="clear" w:color="auto" w:fill="auto"/>
            <w:vAlign w:val="center"/>
          </w:tcPr>
          <w:p w14:paraId="71C427B9">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lang w:eastAsia="zh-CN"/>
              </w:rPr>
              <w:t>是否接受进口</w:t>
            </w:r>
          </w:p>
        </w:tc>
        <w:tc>
          <w:tcPr>
            <w:tcW w:w="1995" w:type="dxa"/>
            <w:shd w:val="clear" w:color="auto" w:fill="auto"/>
            <w:vAlign w:val="center"/>
          </w:tcPr>
          <w:p w14:paraId="41AA5B11">
            <w:pPr>
              <w:jc w:val="center"/>
              <w:rPr>
                <w:rFonts w:hint="eastAsia"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否</w:t>
            </w:r>
          </w:p>
        </w:tc>
      </w:tr>
      <w:tr w14:paraId="67DE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55AB1059">
            <w:pPr>
              <w:jc w:val="center"/>
              <w:rPr>
                <w:rFonts w:cs="宋体" w:asciiTheme="minorEastAsia" w:hAnsiTheme="minorEastAsia" w:eastAsiaTheme="minorEastAsia"/>
                <w:color w:val="auto"/>
                <w:kern w:val="0"/>
                <w:szCs w:val="21"/>
                <w:highlight w:val="yellow"/>
              </w:rPr>
            </w:pPr>
            <w:r>
              <w:rPr>
                <w:rFonts w:hint="eastAsia" w:cs="宋体" w:asciiTheme="minorEastAsia" w:hAnsiTheme="minorEastAsia" w:eastAsiaTheme="minorEastAsia"/>
                <w:color w:val="auto"/>
                <w:kern w:val="0"/>
                <w:szCs w:val="21"/>
                <w:highlight w:val="yellow"/>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4098"/>
              <w:gridCol w:w="1131"/>
              <w:gridCol w:w="2046"/>
            </w:tblGrid>
            <w:tr w14:paraId="30C95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center"/>
                </w:tcPr>
                <w:p w14:paraId="5576EBAF">
                  <w:pPr>
                    <w:jc w:val="center"/>
                    <w:rPr>
                      <w:bCs/>
                      <w:color w:val="auto"/>
                      <w:sz w:val="21"/>
                      <w:szCs w:val="21"/>
                      <w:highlight w:val="yellow"/>
                    </w:rPr>
                  </w:pPr>
                  <w:r>
                    <w:rPr>
                      <w:rFonts w:hint="eastAsia"/>
                      <w:bCs/>
                      <w:color w:val="auto"/>
                      <w:sz w:val="21"/>
                      <w:szCs w:val="21"/>
                      <w:highlight w:val="yellow"/>
                    </w:rPr>
                    <w:t>序号</w:t>
                  </w:r>
                </w:p>
              </w:tc>
              <w:tc>
                <w:tcPr>
                  <w:tcW w:w="4098" w:type="dxa"/>
                  <w:noWrap w:val="0"/>
                  <w:vAlign w:val="center"/>
                </w:tcPr>
                <w:p w14:paraId="5BC4820C">
                  <w:pPr>
                    <w:jc w:val="center"/>
                    <w:rPr>
                      <w:bCs/>
                      <w:color w:val="auto"/>
                      <w:sz w:val="21"/>
                      <w:szCs w:val="21"/>
                      <w:highlight w:val="yellow"/>
                    </w:rPr>
                  </w:pPr>
                  <w:r>
                    <w:rPr>
                      <w:rFonts w:hint="eastAsia"/>
                      <w:bCs/>
                      <w:color w:val="auto"/>
                      <w:sz w:val="21"/>
                      <w:szCs w:val="21"/>
                      <w:highlight w:val="yellow"/>
                    </w:rPr>
                    <w:t>货物名称</w:t>
                  </w:r>
                </w:p>
              </w:tc>
              <w:tc>
                <w:tcPr>
                  <w:tcW w:w="1131" w:type="dxa"/>
                  <w:noWrap w:val="0"/>
                  <w:vAlign w:val="center"/>
                </w:tcPr>
                <w:p w14:paraId="28813CEC">
                  <w:pPr>
                    <w:jc w:val="center"/>
                    <w:rPr>
                      <w:bCs/>
                      <w:color w:val="auto"/>
                      <w:sz w:val="21"/>
                      <w:szCs w:val="21"/>
                      <w:highlight w:val="yellow"/>
                    </w:rPr>
                  </w:pPr>
                  <w:r>
                    <w:rPr>
                      <w:rFonts w:hint="eastAsia"/>
                      <w:bCs/>
                      <w:color w:val="auto"/>
                      <w:sz w:val="21"/>
                      <w:szCs w:val="21"/>
                      <w:highlight w:val="yellow"/>
                    </w:rPr>
                    <w:t>数量</w:t>
                  </w:r>
                </w:p>
              </w:tc>
              <w:tc>
                <w:tcPr>
                  <w:tcW w:w="2046" w:type="dxa"/>
                  <w:noWrap w:val="0"/>
                  <w:vAlign w:val="center"/>
                </w:tcPr>
                <w:p w14:paraId="44FEBF97">
                  <w:pPr>
                    <w:jc w:val="center"/>
                    <w:rPr>
                      <w:bCs/>
                      <w:color w:val="auto"/>
                      <w:sz w:val="21"/>
                      <w:szCs w:val="21"/>
                      <w:highlight w:val="yellow"/>
                    </w:rPr>
                  </w:pPr>
                  <w:r>
                    <w:rPr>
                      <w:rFonts w:hint="eastAsia"/>
                      <w:bCs/>
                      <w:color w:val="auto"/>
                      <w:sz w:val="21"/>
                      <w:szCs w:val="21"/>
                      <w:highlight w:val="yellow"/>
                    </w:rPr>
                    <w:t>单位</w:t>
                  </w:r>
                </w:p>
              </w:tc>
            </w:tr>
            <w:tr w14:paraId="336B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771" w:type="dxa"/>
                  <w:noWrap w:val="0"/>
                  <w:vAlign w:val="top"/>
                </w:tcPr>
                <w:p w14:paraId="6AD792D3">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4098" w:type="dxa"/>
                  <w:noWrap w:val="0"/>
                  <w:vAlign w:val="center"/>
                </w:tcPr>
                <w:p w14:paraId="0CD0CBC7">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便携式控制器</w:t>
                  </w:r>
                </w:p>
              </w:tc>
              <w:tc>
                <w:tcPr>
                  <w:tcW w:w="1131" w:type="dxa"/>
                  <w:noWrap w:val="0"/>
                  <w:vAlign w:val="top"/>
                </w:tcPr>
                <w:p w14:paraId="2CFBCB33">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8</w:t>
                  </w:r>
                </w:p>
              </w:tc>
              <w:tc>
                <w:tcPr>
                  <w:tcW w:w="2046" w:type="dxa"/>
                  <w:noWrap w:val="0"/>
                  <w:vAlign w:val="center"/>
                </w:tcPr>
                <w:p w14:paraId="370D7A3D">
                  <w:pPr>
                    <w:spacing w:line="400" w:lineRule="exact"/>
                    <w:jc w:val="center"/>
                    <w:rPr>
                      <w:rFonts w:hint="eastAsia" w:eastAsia="宋体"/>
                      <w:bCs/>
                      <w:color w:val="auto"/>
                      <w:sz w:val="21"/>
                      <w:szCs w:val="21"/>
                      <w:highlight w:val="yellow"/>
                      <w:lang w:eastAsia="zh-CN"/>
                    </w:rPr>
                  </w:pPr>
                  <w:r>
                    <w:rPr>
                      <w:rFonts w:hint="eastAsia"/>
                      <w:bCs/>
                      <w:color w:val="auto"/>
                      <w:sz w:val="21"/>
                      <w:szCs w:val="21"/>
                      <w:highlight w:val="yellow"/>
                      <w:lang w:eastAsia="zh-CN"/>
                    </w:rPr>
                    <w:t>台</w:t>
                  </w:r>
                </w:p>
              </w:tc>
            </w:tr>
            <w:tr w14:paraId="5519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2515DB59">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4098" w:type="dxa"/>
                  <w:noWrap w:val="0"/>
                  <w:vAlign w:val="center"/>
                </w:tcPr>
                <w:p w14:paraId="1ED66411">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胰岛素泵体</w:t>
                  </w:r>
                </w:p>
              </w:tc>
              <w:tc>
                <w:tcPr>
                  <w:tcW w:w="1131" w:type="dxa"/>
                  <w:noWrap w:val="0"/>
                  <w:vAlign w:val="center"/>
                </w:tcPr>
                <w:p w14:paraId="21D6A629">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8</w:t>
                  </w:r>
                </w:p>
              </w:tc>
              <w:tc>
                <w:tcPr>
                  <w:tcW w:w="2046" w:type="dxa"/>
                  <w:noWrap w:val="0"/>
                  <w:vAlign w:val="center"/>
                </w:tcPr>
                <w:p w14:paraId="55ADD236">
                  <w:pPr>
                    <w:jc w:val="center"/>
                    <w:rPr>
                      <w:rFonts w:hint="eastAsia" w:ascii="宋体" w:hAnsi="宋体" w:eastAsia="宋体" w:cs="宋体"/>
                      <w:b/>
                      <w:color w:val="auto"/>
                      <w:sz w:val="21"/>
                      <w:szCs w:val="21"/>
                      <w:highlight w:val="yellow"/>
                      <w:lang w:eastAsia="zh-CN"/>
                    </w:rPr>
                  </w:pPr>
                  <w:r>
                    <w:rPr>
                      <w:rFonts w:hint="eastAsia" w:ascii="宋体" w:hAnsi="宋体" w:cs="宋体"/>
                      <w:b/>
                      <w:color w:val="auto"/>
                      <w:sz w:val="21"/>
                      <w:szCs w:val="21"/>
                      <w:highlight w:val="yellow"/>
                      <w:lang w:eastAsia="zh-CN"/>
                    </w:rPr>
                    <w:t>台</w:t>
                  </w:r>
                </w:p>
              </w:tc>
            </w:tr>
            <w:tr w14:paraId="66CE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40562178">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3</w:t>
                  </w:r>
                </w:p>
              </w:tc>
              <w:tc>
                <w:tcPr>
                  <w:tcW w:w="4098" w:type="dxa"/>
                  <w:noWrap w:val="0"/>
                  <w:vAlign w:val="center"/>
                </w:tcPr>
                <w:p w14:paraId="659F93E5">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cs="宋体"/>
                      <w:i w:val="0"/>
                      <w:color w:val="000000"/>
                      <w:kern w:val="2"/>
                      <w:sz w:val="24"/>
                      <w:szCs w:val="24"/>
                      <w:u w:val="none"/>
                      <w:lang w:val="en-US" w:eastAsia="zh-CN" w:bidi="ar-SA"/>
                    </w:rPr>
                    <w:t>助针器</w:t>
                  </w:r>
                </w:p>
              </w:tc>
              <w:tc>
                <w:tcPr>
                  <w:tcW w:w="1131" w:type="dxa"/>
                  <w:noWrap w:val="0"/>
                  <w:vAlign w:val="center"/>
                </w:tcPr>
                <w:p w14:paraId="7BF762EF">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8</w:t>
                  </w:r>
                </w:p>
              </w:tc>
              <w:tc>
                <w:tcPr>
                  <w:tcW w:w="2046" w:type="dxa"/>
                  <w:noWrap w:val="0"/>
                  <w:vAlign w:val="center"/>
                </w:tcPr>
                <w:p w14:paraId="6EAC2857">
                  <w:pPr>
                    <w:jc w:val="center"/>
                    <w:rPr>
                      <w:rFonts w:hint="eastAsia" w:ascii="宋体" w:hAnsi="宋体" w:eastAsia="宋体" w:cs="宋体"/>
                      <w:b/>
                      <w:color w:val="auto"/>
                      <w:sz w:val="21"/>
                      <w:szCs w:val="21"/>
                      <w:highlight w:val="yellow"/>
                      <w:lang w:eastAsia="zh-CN"/>
                    </w:rPr>
                  </w:pPr>
                  <w:r>
                    <w:rPr>
                      <w:rFonts w:hint="eastAsia" w:ascii="宋体" w:hAnsi="宋体" w:cs="宋体"/>
                      <w:b/>
                      <w:color w:val="auto"/>
                      <w:sz w:val="21"/>
                      <w:szCs w:val="21"/>
                      <w:highlight w:val="yellow"/>
                      <w:lang w:eastAsia="zh-CN"/>
                    </w:rPr>
                    <w:t>个</w:t>
                  </w:r>
                </w:p>
              </w:tc>
            </w:tr>
            <w:tr w14:paraId="2E89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31A17AF0">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4</w:t>
                  </w:r>
                </w:p>
              </w:tc>
              <w:tc>
                <w:tcPr>
                  <w:tcW w:w="4098" w:type="dxa"/>
                  <w:noWrap w:val="0"/>
                  <w:vAlign w:val="center"/>
                </w:tcPr>
                <w:p w14:paraId="2E6E8F80">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泵电池</w:t>
                  </w:r>
                </w:p>
              </w:tc>
              <w:tc>
                <w:tcPr>
                  <w:tcW w:w="1131" w:type="dxa"/>
                  <w:noWrap w:val="0"/>
                  <w:vAlign w:val="center"/>
                </w:tcPr>
                <w:p w14:paraId="47D1728D">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16</w:t>
                  </w:r>
                </w:p>
              </w:tc>
              <w:tc>
                <w:tcPr>
                  <w:tcW w:w="2046" w:type="dxa"/>
                  <w:noWrap w:val="0"/>
                  <w:vAlign w:val="center"/>
                </w:tcPr>
                <w:p w14:paraId="01D7BEBC">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个</w:t>
                  </w:r>
                </w:p>
              </w:tc>
            </w:tr>
            <w:tr w14:paraId="3CED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64F6AE35">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5</w:t>
                  </w:r>
                </w:p>
              </w:tc>
              <w:tc>
                <w:tcPr>
                  <w:tcW w:w="4098" w:type="dxa"/>
                  <w:noWrap w:val="0"/>
                  <w:vAlign w:val="center"/>
                </w:tcPr>
                <w:p w14:paraId="311AAE01">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泵电池充电器</w:t>
                  </w:r>
                </w:p>
              </w:tc>
              <w:tc>
                <w:tcPr>
                  <w:tcW w:w="1131" w:type="dxa"/>
                  <w:noWrap w:val="0"/>
                  <w:vAlign w:val="center"/>
                </w:tcPr>
                <w:p w14:paraId="5F245184">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8</w:t>
                  </w:r>
                </w:p>
              </w:tc>
              <w:tc>
                <w:tcPr>
                  <w:tcW w:w="2046" w:type="dxa"/>
                  <w:noWrap w:val="0"/>
                  <w:vAlign w:val="center"/>
                </w:tcPr>
                <w:p w14:paraId="1FC3A83B">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个</w:t>
                  </w:r>
                </w:p>
              </w:tc>
            </w:tr>
            <w:tr w14:paraId="0B87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2A3196D0">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6</w:t>
                  </w:r>
                </w:p>
              </w:tc>
              <w:tc>
                <w:tcPr>
                  <w:tcW w:w="4098" w:type="dxa"/>
                  <w:noWrap w:val="0"/>
                  <w:vAlign w:val="center"/>
                </w:tcPr>
                <w:p w14:paraId="5B552367">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便携式控制器电池</w:t>
                  </w:r>
                </w:p>
              </w:tc>
              <w:tc>
                <w:tcPr>
                  <w:tcW w:w="1131" w:type="dxa"/>
                  <w:noWrap w:val="0"/>
                  <w:vAlign w:val="center"/>
                </w:tcPr>
                <w:p w14:paraId="0F84ABB8">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8</w:t>
                  </w:r>
                </w:p>
              </w:tc>
              <w:tc>
                <w:tcPr>
                  <w:tcW w:w="2046" w:type="dxa"/>
                  <w:noWrap w:val="0"/>
                  <w:vAlign w:val="center"/>
                </w:tcPr>
                <w:p w14:paraId="10D2D357">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个</w:t>
                  </w:r>
                </w:p>
              </w:tc>
            </w:tr>
            <w:tr w14:paraId="0E05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6B4DBA3E">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7</w:t>
                  </w:r>
                </w:p>
              </w:tc>
              <w:tc>
                <w:tcPr>
                  <w:tcW w:w="4098" w:type="dxa"/>
                  <w:noWrap w:val="0"/>
                  <w:vAlign w:val="center"/>
                </w:tcPr>
                <w:p w14:paraId="7A938ECA">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便携式控制器充电器</w:t>
                  </w:r>
                </w:p>
              </w:tc>
              <w:tc>
                <w:tcPr>
                  <w:tcW w:w="1131" w:type="dxa"/>
                  <w:noWrap w:val="0"/>
                  <w:vAlign w:val="center"/>
                </w:tcPr>
                <w:p w14:paraId="2AA45FD1">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8</w:t>
                  </w:r>
                </w:p>
              </w:tc>
              <w:tc>
                <w:tcPr>
                  <w:tcW w:w="2046" w:type="dxa"/>
                  <w:noWrap w:val="0"/>
                  <w:vAlign w:val="center"/>
                </w:tcPr>
                <w:p w14:paraId="679FD65A">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根</w:t>
                  </w:r>
                </w:p>
              </w:tc>
            </w:tr>
            <w:tr w14:paraId="1436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Pr>
                <w:p w14:paraId="311F3933">
                  <w:pPr>
                    <w:jc w:val="center"/>
                    <w:rPr>
                      <w:rFonts w:hint="default"/>
                      <w:bCs/>
                      <w:color w:val="auto"/>
                      <w:sz w:val="21"/>
                      <w:szCs w:val="21"/>
                      <w:highlight w:val="yellow"/>
                      <w:lang w:val="en-US" w:eastAsia="zh-CN"/>
                    </w:rPr>
                  </w:pPr>
                </w:p>
              </w:tc>
              <w:tc>
                <w:tcPr>
                  <w:tcW w:w="0" w:type="auto"/>
                  <w:vAlign w:val="center"/>
                </w:tcPr>
                <w:p w14:paraId="2E613E46">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便携式控制器充电线</w:t>
                  </w:r>
                </w:p>
              </w:tc>
              <w:tc>
                <w:tcPr>
                  <w:tcW w:w="0" w:type="auto"/>
                </w:tcPr>
                <w:p w14:paraId="1DE1FF0F">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8</w:t>
                  </w:r>
                </w:p>
              </w:tc>
              <w:tc>
                <w:tcPr>
                  <w:tcW w:w="0" w:type="auto"/>
                </w:tcPr>
                <w:p w14:paraId="26C18F1F">
                  <w:pPr>
                    <w:jc w:val="center"/>
                    <w:rPr>
                      <w:rFonts w:hint="eastAsia" w:ascii="宋体" w:hAnsi="宋体"/>
                      <w:b/>
                      <w:color w:val="auto"/>
                      <w:sz w:val="21"/>
                      <w:szCs w:val="21"/>
                      <w:highlight w:val="yellow"/>
                    </w:rPr>
                  </w:pPr>
                  <w:r>
                    <w:rPr>
                      <w:rFonts w:hint="eastAsia" w:ascii="宋体" w:hAnsi="宋体"/>
                      <w:b/>
                      <w:color w:val="auto"/>
                      <w:sz w:val="21"/>
                      <w:szCs w:val="21"/>
                      <w:highlight w:val="yellow"/>
                      <w:lang w:eastAsia="zh-CN"/>
                    </w:rPr>
                    <w:t>根</w:t>
                  </w:r>
                </w:p>
              </w:tc>
            </w:tr>
          </w:tbl>
          <w:p w14:paraId="069200A6">
            <w:pPr>
              <w:rPr>
                <w:rFonts w:asciiTheme="minorEastAsia" w:hAnsiTheme="minorEastAsia" w:eastAsiaTheme="minorEastAsia"/>
                <w:color w:val="auto"/>
                <w:szCs w:val="21"/>
                <w:highlight w:val="yellow"/>
              </w:rPr>
            </w:pPr>
          </w:p>
        </w:tc>
      </w:tr>
      <w:tr w14:paraId="275B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33CC562B">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59A68C8A">
            <w:pPr>
              <w:pStyle w:val="27"/>
              <w:numPr>
                <w:ilvl w:val="0"/>
                <w:numId w:val="0"/>
              </w:numPr>
              <w:ind w:leftChars="0"/>
              <w:rPr>
                <w:rFonts w:asciiTheme="minorEastAsia" w:hAnsiTheme="minorEastAsia" w:eastAsiaTheme="minorEastAsia"/>
                <w:color w:val="auto"/>
                <w:szCs w:val="21"/>
                <w:highlight w:val="yellow"/>
              </w:rPr>
            </w:pPr>
            <w:r>
              <w:rPr>
                <w:rFonts w:hint="eastAsia"/>
                <w:color w:val="auto"/>
                <w:highlight w:val="yellow"/>
                <w:lang w:eastAsia="zh-CN"/>
              </w:rPr>
              <w:t>一、（请用</w:t>
            </w:r>
            <w:r>
              <w:rPr>
                <w:rFonts w:hint="eastAsia"/>
                <w:color w:val="auto"/>
                <w:highlight w:val="yellow"/>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yellow"/>
                <w:lang w:eastAsia="zh-CN"/>
              </w:rPr>
              <w:t>）</w:t>
            </w:r>
          </w:p>
          <w:p w14:paraId="205025D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u w:val="single"/>
                <w:lang w:eastAsia="zh-CN"/>
              </w:rPr>
            </w:pPr>
            <w:r>
              <w:rPr>
                <w:rFonts w:hint="eastAsia" w:asciiTheme="minorEastAsia" w:hAnsiTheme="minorEastAsia" w:eastAsiaTheme="minorEastAsia" w:cstheme="minorEastAsia"/>
                <w:color w:val="000000"/>
                <w:sz w:val="21"/>
                <w:szCs w:val="21"/>
              </w:rPr>
              <w:t>贴敷式胰岛素泵是国内获得CFDA批准的无导管、贴敷式、半抛弃型智能胰岛素泵系统。该产品除输注精度更高、自带多重安全保障功能外，还创新性地去除了传统的输注导管，把患者从管路缠绕的不便中解放出来，极大提高了佩戴舒适度和生活自由度。贴敷式胰岛素泵方便进行远程管理，帮助患者家属随时监控患者胰岛素泵的使用情况，解除他们的后顾之忧。该产品体积、重量大幅缩小，佩戴便捷，隐私性好，有良好的社会效益和经济效益。</w:t>
            </w:r>
          </w:p>
          <w:p w14:paraId="5577BD54">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二、</w:t>
            </w:r>
            <w:r>
              <w:rPr>
                <w:rFonts w:hint="eastAsia" w:ascii="宋体" w:hAnsi="宋体" w:cs="宋体"/>
                <w:kern w:val="0"/>
                <w:szCs w:val="21"/>
              </w:rPr>
              <w:t>投标人拟投产品符合政府采购政策的，投标人须按招标文件要求提供相关的证明材料。</w:t>
            </w:r>
          </w:p>
          <w:p w14:paraId="020E3DFC">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241D3F7F">
            <w:pPr>
              <w:numPr>
                <w:ilvl w:val="0"/>
                <w:numId w:val="0"/>
              </w:numPr>
              <w:tabs>
                <w:tab w:val="left" w:pos="540"/>
              </w:tabs>
              <w:adjustRightInd w:val="0"/>
              <w:snapToGrid w:val="0"/>
              <w:spacing w:line="360" w:lineRule="auto"/>
              <w:ind w:leftChars="0"/>
              <w:rPr>
                <w:rFonts w:ascii="宋体" w:hAnsi="宋体" w:cs="Courier New"/>
                <w:sz w:val="24"/>
              </w:rPr>
            </w:pPr>
            <w:r>
              <w:rPr>
                <w:rFonts w:hint="eastAsia" w:ascii="宋体" w:hAnsi="宋体" w:cs="Courier New"/>
                <w:szCs w:val="21"/>
                <w:lang w:eastAsia="zh-CN"/>
              </w:rPr>
              <w:t>四、</w:t>
            </w:r>
            <w:r>
              <w:rPr>
                <w:rFonts w:hint="eastAsia" w:ascii="宋体" w:hAnsi="宋体" w:cs="Courier New"/>
                <w:szCs w:val="21"/>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49127178">
            <w:pPr>
              <w:pStyle w:val="12"/>
            </w:pPr>
          </w:p>
          <w:p w14:paraId="37B85D32">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bCs/>
                <w:kern w:val="0"/>
                <w:sz w:val="21"/>
                <w:szCs w:val="21"/>
              </w:rPr>
              <w:t>备注</w:t>
            </w:r>
            <w:r>
              <w:rPr>
                <w:rFonts w:hint="eastAsia" w:ascii="宋体" w:hAnsi="宋体" w:eastAsia="宋体" w:cs="宋体"/>
                <w:kern w:val="0"/>
                <w:sz w:val="21"/>
                <w:szCs w:val="21"/>
              </w:rPr>
              <w:t>：</w:t>
            </w:r>
          </w:p>
          <w:p w14:paraId="2C9B78E3">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1、投标人须提供上表所列产品，在规定的时间内送至指定地点参与评分。</w:t>
            </w:r>
          </w:p>
          <w:p w14:paraId="11E70CD3">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2、样品与《实质性响应条款偏离表》中对应的投标内容存在不符的，评委会可根据情况视为《实质性响应条款偏离表》填写不实，初审不通过。</w:t>
            </w:r>
          </w:p>
          <w:p w14:paraId="5E1CB232">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3、材料样品将作为履约验收的参考。</w:t>
            </w:r>
          </w:p>
          <w:p w14:paraId="4B43B2C0">
            <w:pPr>
              <w:ind w:firstLine="422" w:firstLineChars="200"/>
              <w:rPr>
                <w:rFonts w:hint="eastAsia" w:asciiTheme="minorEastAsia" w:hAnsiTheme="minorEastAsia" w:eastAsiaTheme="minorEastAsia"/>
                <w:b/>
                <w:szCs w:val="21"/>
              </w:rPr>
            </w:pPr>
          </w:p>
          <w:p w14:paraId="6D58E131">
            <w:pPr>
              <w:ind w:firstLine="422" w:firstLineChars="200"/>
              <w:rPr>
                <w:rFonts w:asciiTheme="minorEastAsia" w:hAnsiTheme="minorEastAsia" w:eastAsiaTheme="minorEastAsia"/>
                <w:b/>
                <w:szCs w:val="21"/>
                <w:highlight w:val="red"/>
              </w:rPr>
            </w:pPr>
            <w:r>
              <w:rPr>
                <w:rFonts w:hint="eastAsia" w:asciiTheme="minorEastAsia" w:hAnsiTheme="minorEastAsia" w:eastAsiaTheme="minorEastAsia"/>
                <w:b/>
                <w:szCs w:val="21"/>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49F66B08">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项，其余为未要求提供证明资料的条款，无需提供相关证明资料。</w:t>
            </w:r>
          </w:p>
          <w:p w14:paraId="147D73E1">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3335F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26" w:type="dxa"/>
                  <w:tcBorders>
                    <w:top w:val="single" w:color="auto" w:sz="4" w:space="0"/>
                    <w:left w:val="single" w:color="auto" w:sz="4" w:space="0"/>
                    <w:bottom w:val="single" w:color="auto" w:sz="4" w:space="0"/>
                    <w:right w:val="single" w:color="auto" w:sz="4" w:space="0"/>
                  </w:tcBorders>
                  <w:noWrap w:val="0"/>
                  <w:vAlign w:val="center"/>
                </w:tcPr>
                <w:p w14:paraId="791A6C34">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lang w:eastAsia="zh-CN"/>
                    </w:rPr>
                    <w:t>设备</w:t>
                  </w:r>
                  <w:r>
                    <w:rPr>
                      <w:rFonts w:hint="eastAsia" w:cs="宋体"/>
                      <w:color w:val="auto"/>
                      <w:kern w:val="0"/>
                      <w:sz w:val="24"/>
                      <w:szCs w:val="21"/>
                      <w:highlight w:val="yellow"/>
                    </w:rPr>
                    <w:t>名称</w:t>
                  </w:r>
                </w:p>
              </w:tc>
              <w:tc>
                <w:tcPr>
                  <w:tcW w:w="7093" w:type="dxa"/>
                  <w:tcBorders>
                    <w:top w:val="single" w:color="auto" w:sz="4" w:space="0"/>
                    <w:left w:val="single" w:color="auto" w:sz="4" w:space="0"/>
                    <w:bottom w:val="single" w:color="auto" w:sz="4" w:space="0"/>
                    <w:right w:val="single" w:color="auto" w:sz="4" w:space="0"/>
                  </w:tcBorders>
                  <w:noWrap w:val="0"/>
                  <w:vAlign w:val="center"/>
                </w:tcPr>
                <w:p w14:paraId="3B4E9F52">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rPr>
                    <w:t>招标技术要求</w:t>
                  </w:r>
                </w:p>
              </w:tc>
            </w:tr>
            <w:tr w14:paraId="728A4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restart"/>
                  <w:tcBorders>
                    <w:top w:val="single" w:color="auto" w:sz="4" w:space="0"/>
                    <w:left w:val="single" w:color="auto" w:sz="4" w:space="0"/>
                    <w:right w:val="single" w:color="auto" w:sz="4" w:space="0"/>
                  </w:tcBorders>
                  <w:noWrap w:val="0"/>
                  <w:vAlign w:val="center"/>
                </w:tcPr>
                <w:p w14:paraId="6AFE749F">
                  <w:pPr>
                    <w:jc w:val="left"/>
                    <w:rPr>
                      <w:rFonts w:hint="eastAsia" w:ascii="宋体" w:hAnsi="宋体" w:eastAsia="宋体" w:cs="宋体"/>
                      <w:color w:val="auto"/>
                      <w:kern w:val="0"/>
                      <w:szCs w:val="21"/>
                      <w:highlight w:val="yellow"/>
                      <w:lang w:eastAsia="zh-CN"/>
                    </w:rPr>
                  </w:pPr>
                  <w:r>
                    <w:rPr>
                      <w:rFonts w:hint="eastAsia" w:ascii="宋体" w:hAnsi="宋体" w:cs="宋体"/>
                      <w:color w:val="auto"/>
                      <w:kern w:val="0"/>
                      <w:szCs w:val="21"/>
                      <w:highlight w:val="yellow"/>
                      <w:lang w:eastAsia="zh-CN"/>
                    </w:rPr>
                    <w:t>贴敷式胰岛素泵</w:t>
                  </w:r>
                </w:p>
              </w:tc>
              <w:tc>
                <w:tcPr>
                  <w:tcW w:w="7093" w:type="dxa"/>
                  <w:tcBorders>
                    <w:top w:val="single" w:color="auto" w:sz="4" w:space="0"/>
                    <w:left w:val="single" w:color="auto" w:sz="4" w:space="0"/>
                    <w:bottom w:val="single" w:color="auto" w:sz="4" w:space="0"/>
                    <w:right w:val="single" w:color="auto" w:sz="4" w:space="0"/>
                  </w:tcBorders>
                  <w:noWrap w:val="0"/>
                  <w:vAlign w:val="top"/>
                </w:tcPr>
                <w:p w14:paraId="35A5544F">
                  <w:pPr>
                    <w:spacing w:line="500" w:lineRule="exact"/>
                    <w:jc w:val="left"/>
                    <w:rPr>
                      <w:rFonts w:hint="eastAsia" w:ascii="宋体" w:hAnsi="宋体" w:eastAsia="宋体" w:cs="宋体"/>
                      <w:color w:val="auto"/>
                      <w:sz w:val="21"/>
                      <w:szCs w:val="21"/>
                      <w:highlight w:val="yellow"/>
                    </w:rPr>
                  </w:pPr>
                  <w:r>
                    <w:rPr>
                      <w:sz w:val="24"/>
                      <w:szCs w:val="24"/>
                    </w:rPr>
                    <w:t>储药器</w:t>
                  </w:r>
                  <w:r>
                    <w:rPr>
                      <w:sz w:val="24"/>
                      <w:szCs w:val="24"/>
                    </w:rPr>
                    <w:tab/>
                  </w:r>
                  <w:r>
                    <w:rPr>
                      <w:sz w:val="24"/>
                      <w:szCs w:val="24"/>
                    </w:rPr>
                    <w:t>2m</w:t>
                  </w:r>
                  <w:r>
                    <w:rPr>
                      <w:sz w:val="24"/>
                      <w:szCs w:val="24"/>
                      <w:lang w:val="en-US"/>
                    </w:rPr>
                    <w:t>l</w:t>
                  </w:r>
                  <w:r>
                    <w:rPr>
                      <w:rFonts w:hint="eastAsia"/>
                      <w:sz w:val="24"/>
                      <w:szCs w:val="24"/>
                      <w:lang w:val="en-US" w:eastAsia="zh-CN"/>
                    </w:rPr>
                    <w:t>L</w:t>
                  </w:r>
                </w:p>
              </w:tc>
            </w:tr>
            <w:tr w14:paraId="0ADF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7F4B8FDE">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4A625B27">
                  <w:pPr>
                    <w:rPr>
                      <w:rFonts w:hint="eastAsia" w:ascii="宋体" w:hAnsi="宋体" w:eastAsia="宋体" w:cs="宋体"/>
                      <w:color w:val="auto"/>
                      <w:sz w:val="21"/>
                      <w:szCs w:val="21"/>
                      <w:highlight w:val="yellow"/>
                    </w:rPr>
                  </w:pPr>
                  <w:r>
                    <w:rPr>
                      <w:sz w:val="24"/>
                      <w:szCs w:val="24"/>
                    </w:rPr>
                    <w:t>三餐大剂量输注方式</w:t>
                  </w:r>
                  <w:r>
                    <w:rPr>
                      <w:sz w:val="24"/>
                      <w:szCs w:val="24"/>
                    </w:rPr>
                    <w:tab/>
                  </w:r>
                  <w:r>
                    <w:rPr>
                      <w:sz w:val="24"/>
                      <w:szCs w:val="24"/>
                    </w:rPr>
                    <w:t>常规输注/方波输注/双波输注</w:t>
                  </w:r>
                </w:p>
              </w:tc>
            </w:tr>
            <w:tr w14:paraId="6F13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674EF0F5">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714FE79A">
                  <w:pPr>
                    <w:spacing w:line="500" w:lineRule="exact"/>
                    <w:jc w:val="left"/>
                    <w:rPr>
                      <w:rFonts w:hint="eastAsia" w:ascii="宋体" w:hAnsi="宋体" w:eastAsia="宋体" w:cs="宋体"/>
                      <w:color w:val="auto"/>
                      <w:sz w:val="21"/>
                      <w:szCs w:val="21"/>
                      <w:highlight w:val="yellow"/>
                    </w:rPr>
                  </w:pPr>
                  <w:r>
                    <w:rPr>
                      <w:sz w:val="24"/>
                      <w:szCs w:val="24"/>
                    </w:rPr>
                    <w:t>基础量调节范围</w:t>
                  </w:r>
                  <w:r>
                    <w:rPr>
                      <w:sz w:val="24"/>
                      <w:szCs w:val="24"/>
                    </w:rPr>
                    <w:tab/>
                  </w:r>
                  <w:r>
                    <w:rPr>
                      <w:sz w:val="24"/>
                      <w:szCs w:val="24"/>
                    </w:rPr>
                    <w:t>0</w:t>
                  </w:r>
                  <w:r>
                    <w:rPr>
                      <w:rFonts w:hint="eastAsia"/>
                      <w:sz w:val="24"/>
                      <w:szCs w:val="24"/>
                    </w:rPr>
                    <w:t>.025</w:t>
                  </w:r>
                  <w:r>
                    <w:rPr>
                      <w:sz w:val="24"/>
                      <w:szCs w:val="24"/>
                    </w:rPr>
                    <w:t>-35</w:t>
                  </w:r>
                  <w:r>
                    <w:rPr>
                      <w:rFonts w:hint="eastAsia"/>
                      <w:sz w:val="24"/>
                      <w:szCs w:val="24"/>
                    </w:rPr>
                    <w:t>U</w:t>
                  </w:r>
                  <w:r>
                    <w:rPr>
                      <w:sz w:val="24"/>
                      <w:szCs w:val="24"/>
                    </w:rPr>
                    <w:t xml:space="preserve"> </w:t>
                  </w:r>
                  <w:r>
                    <w:rPr>
                      <w:rFonts w:hint="eastAsia"/>
                      <w:sz w:val="24"/>
                      <w:szCs w:val="24"/>
                    </w:rPr>
                    <w:t>/小时，基础率步长：0.025U/小时</w:t>
                  </w:r>
                </w:p>
              </w:tc>
            </w:tr>
            <w:tr w14:paraId="216D0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4E93E151">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628E7BF">
                  <w:pPr>
                    <w:spacing w:line="500" w:lineRule="exact"/>
                    <w:jc w:val="left"/>
                    <w:rPr>
                      <w:rFonts w:hint="eastAsia" w:ascii="宋体" w:hAnsi="宋体" w:eastAsia="宋体" w:cs="宋体"/>
                      <w:color w:val="000000"/>
                      <w:sz w:val="21"/>
                      <w:szCs w:val="21"/>
                    </w:rPr>
                  </w:pPr>
                  <w:r>
                    <w:rPr>
                      <w:sz w:val="24"/>
                      <w:szCs w:val="24"/>
                    </w:rPr>
                    <w:t>大剂量调节范围</w:t>
                  </w:r>
                  <w:r>
                    <w:rPr>
                      <w:sz w:val="24"/>
                      <w:szCs w:val="24"/>
                    </w:rPr>
                    <w:tab/>
                  </w:r>
                  <w:r>
                    <w:rPr>
                      <w:rFonts w:hint="eastAsia"/>
                      <w:sz w:val="24"/>
                      <w:szCs w:val="24"/>
                    </w:rPr>
                    <w:t>0.025-25U，3个预设值</w:t>
                  </w:r>
                </w:p>
              </w:tc>
            </w:tr>
            <w:tr w14:paraId="23C2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B550E8B">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6F53029">
                  <w:pPr>
                    <w:spacing w:line="500" w:lineRule="exact"/>
                    <w:jc w:val="left"/>
                    <w:rPr>
                      <w:rFonts w:hint="eastAsia" w:ascii="宋体" w:hAnsi="宋体" w:eastAsia="宋体" w:cs="宋体"/>
                      <w:color w:val="000000"/>
                      <w:sz w:val="21"/>
                      <w:szCs w:val="21"/>
                    </w:rPr>
                  </w:pPr>
                  <w:r>
                    <w:rPr>
                      <w:sz w:val="24"/>
                      <w:szCs w:val="24"/>
                    </w:rPr>
                    <w:t>胰岛素自动分配功能</w:t>
                  </w:r>
                  <w:r>
                    <w:rPr>
                      <w:sz w:val="24"/>
                      <w:szCs w:val="24"/>
                    </w:rPr>
                    <w:tab/>
                  </w:r>
                  <w:r>
                    <w:rPr>
                      <w:rFonts w:hint="eastAsia"/>
                      <w:sz w:val="24"/>
                      <w:szCs w:val="24"/>
                    </w:rPr>
                    <w:t>6段法，24段法</w:t>
                  </w:r>
                </w:p>
              </w:tc>
            </w:tr>
            <w:tr w14:paraId="2214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052C82E7">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AD24BA0">
                  <w:pPr>
                    <w:spacing w:line="500" w:lineRule="exact"/>
                    <w:jc w:val="left"/>
                    <w:rPr>
                      <w:rFonts w:hint="eastAsia" w:ascii="宋体" w:hAnsi="宋体" w:eastAsia="宋体" w:cs="宋体"/>
                      <w:color w:val="000000"/>
                      <w:sz w:val="21"/>
                      <w:szCs w:val="21"/>
                    </w:rPr>
                  </w:pPr>
                  <w:r>
                    <w:rPr>
                      <w:sz w:val="24"/>
                      <w:szCs w:val="24"/>
                    </w:rPr>
                    <w:t>基础率分段</w:t>
                  </w:r>
                  <w:r>
                    <w:rPr>
                      <w:sz w:val="24"/>
                      <w:szCs w:val="24"/>
                    </w:rPr>
                    <w:tab/>
                  </w:r>
                  <w:r>
                    <w:rPr>
                      <w:rFonts w:hint="eastAsia"/>
                      <w:sz w:val="24"/>
                      <w:szCs w:val="24"/>
                    </w:rPr>
                    <w:t>3种预设，最多可设置48</w:t>
                  </w:r>
                  <w:r>
                    <w:rPr>
                      <w:sz w:val="24"/>
                      <w:szCs w:val="24"/>
                    </w:rPr>
                    <w:t>段</w:t>
                  </w:r>
                </w:p>
              </w:tc>
            </w:tr>
            <w:tr w14:paraId="4844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6172F70">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3470940">
                  <w:pPr>
                    <w:spacing w:line="500" w:lineRule="exact"/>
                    <w:jc w:val="left"/>
                    <w:rPr>
                      <w:rFonts w:hint="eastAsia" w:ascii="宋体" w:hAnsi="宋体" w:eastAsia="宋体" w:cs="宋体"/>
                      <w:color w:val="000000"/>
                      <w:sz w:val="21"/>
                      <w:szCs w:val="21"/>
                    </w:rPr>
                  </w:pPr>
                  <w:r>
                    <w:rPr>
                      <w:sz w:val="24"/>
                      <w:szCs w:val="24"/>
                    </w:rPr>
                    <w:t>胰岛素泵专用锂电池</w:t>
                  </w:r>
                  <w:r>
                    <w:rPr>
                      <w:rFonts w:hint="eastAsia"/>
                      <w:sz w:val="24"/>
                      <w:szCs w:val="24"/>
                      <w:lang w:val="en-US" w:eastAsia="zh-CN"/>
                    </w:rPr>
                    <w:t>70</w:t>
                  </w:r>
                  <w:r>
                    <w:rPr>
                      <w:sz w:val="24"/>
                      <w:szCs w:val="24"/>
                    </w:rPr>
                    <w:t>mAh,</w:t>
                  </w:r>
                  <w:r>
                    <w:rPr>
                      <w:rFonts w:hint="eastAsia"/>
                      <w:sz w:val="24"/>
                      <w:szCs w:val="24"/>
                    </w:rPr>
                    <w:t>可重复充电</w:t>
                  </w:r>
                  <w:r>
                    <w:rPr>
                      <w:sz w:val="24"/>
                      <w:szCs w:val="24"/>
                    </w:rPr>
                    <w:t>±</w:t>
                  </w:r>
                  <w:r>
                    <w:rPr>
                      <w:rFonts w:hint="eastAsia"/>
                      <w:sz w:val="24"/>
                      <w:szCs w:val="24"/>
                      <w:lang w:val="en-US"/>
                    </w:rPr>
                    <w:t>300</w:t>
                  </w:r>
                  <w:r>
                    <w:rPr>
                      <w:rFonts w:hint="eastAsia"/>
                      <w:sz w:val="24"/>
                      <w:szCs w:val="24"/>
                      <w:lang w:val="en-US" w:eastAsia="zh-CN"/>
                    </w:rPr>
                    <w:t>、200</w:t>
                  </w:r>
                  <w:r>
                    <w:rPr>
                      <w:rFonts w:hint="eastAsia"/>
                      <w:sz w:val="24"/>
                      <w:szCs w:val="24"/>
                    </w:rPr>
                    <w:t>次</w:t>
                  </w:r>
                </w:p>
              </w:tc>
            </w:tr>
            <w:tr w14:paraId="6B56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6CE4207">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7C2B929">
                  <w:pPr>
                    <w:spacing w:line="500" w:lineRule="exact"/>
                    <w:jc w:val="left"/>
                    <w:rPr>
                      <w:rFonts w:hint="eastAsia" w:ascii="宋体" w:hAnsi="宋体" w:eastAsia="宋体" w:cs="宋体"/>
                      <w:color w:val="000000"/>
                      <w:sz w:val="21"/>
                      <w:szCs w:val="21"/>
                    </w:rPr>
                  </w:pPr>
                  <w:r>
                    <w:rPr>
                      <w:rFonts w:hint="eastAsia"/>
                      <w:sz w:val="24"/>
                      <w:szCs w:val="24"/>
                    </w:rPr>
                    <w:t>胰岛素泵控制器</w:t>
                  </w:r>
                  <w:r>
                    <w:rPr>
                      <w:sz w:val="24"/>
                      <w:szCs w:val="24"/>
                    </w:rPr>
                    <w:tab/>
                  </w:r>
                  <w:r>
                    <w:rPr>
                      <w:rFonts w:hint="eastAsia"/>
                      <w:sz w:val="24"/>
                      <w:szCs w:val="24"/>
                    </w:rPr>
                    <w:t>无线独立控制器/蓝牙连接/</w:t>
                  </w:r>
                  <w:r>
                    <w:rPr>
                      <w:sz w:val="24"/>
                      <w:szCs w:val="24"/>
                    </w:rPr>
                    <w:t>液晶显示屏/全中文操作界面/</w:t>
                  </w:r>
                  <w:r>
                    <w:rPr>
                      <w:rFonts w:hint="eastAsia"/>
                      <w:sz w:val="24"/>
                      <w:szCs w:val="24"/>
                    </w:rPr>
                    <w:t>智能手机操作模式/</w:t>
                  </w:r>
                  <w:r>
                    <w:rPr>
                      <w:sz w:val="24"/>
                      <w:szCs w:val="24"/>
                    </w:rPr>
                    <w:t>可切换中、英</w:t>
                  </w:r>
                  <w:r>
                    <w:rPr>
                      <w:rFonts w:hint="eastAsia"/>
                      <w:sz w:val="24"/>
                      <w:szCs w:val="24"/>
                    </w:rPr>
                    <w:t>文</w:t>
                  </w:r>
                  <w:r>
                    <w:rPr>
                      <w:sz w:val="24"/>
                      <w:szCs w:val="24"/>
                    </w:rPr>
                    <w:t>/显示剩余药量和剩余电量</w:t>
                  </w:r>
                </w:p>
              </w:tc>
            </w:tr>
            <w:tr w14:paraId="632B6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6D686F3B">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AEC2367">
                  <w:pPr>
                    <w:spacing w:line="500" w:lineRule="exact"/>
                    <w:jc w:val="left"/>
                    <w:rPr>
                      <w:rFonts w:hint="eastAsia" w:ascii="宋体" w:hAnsi="宋体" w:eastAsia="宋体" w:cs="宋体"/>
                      <w:color w:val="000000"/>
                      <w:sz w:val="21"/>
                      <w:szCs w:val="21"/>
                    </w:rPr>
                  </w:pPr>
                  <w:r>
                    <w:rPr>
                      <w:rFonts w:hint="eastAsia"/>
                      <w:sz w:val="24"/>
                      <w:szCs w:val="24"/>
                      <w:lang w:eastAsia="zh-CN"/>
                    </w:rPr>
                    <w:t>胰岛素泵</w:t>
                  </w:r>
                  <w:r>
                    <w:rPr>
                      <w:rFonts w:hint="eastAsia"/>
                      <w:sz w:val="24"/>
                      <w:szCs w:val="24"/>
                    </w:rPr>
                    <w:t xml:space="preserve">大剂量输注误差 </w:t>
                  </w:r>
                  <w:r>
                    <w:rPr>
                      <w:sz w:val="24"/>
                      <w:szCs w:val="24"/>
                    </w:rPr>
                    <w:tab/>
                  </w:r>
                  <w:r>
                    <w:rPr>
                      <w:sz w:val="24"/>
                      <w:szCs w:val="24"/>
                    </w:rPr>
                    <w:t>≤±</w:t>
                  </w:r>
                  <w:r>
                    <w:rPr>
                      <w:rFonts w:hint="eastAsia"/>
                      <w:sz w:val="24"/>
                      <w:szCs w:val="24"/>
                    </w:rPr>
                    <w:t>5</w:t>
                  </w:r>
                  <w:r>
                    <w:rPr>
                      <w:sz w:val="24"/>
                      <w:szCs w:val="24"/>
                    </w:rPr>
                    <w:t>%</w:t>
                  </w:r>
                </w:p>
              </w:tc>
            </w:tr>
            <w:tr w14:paraId="6477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405A7D60">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4A95AE5C">
                  <w:pPr>
                    <w:spacing w:line="500" w:lineRule="exact"/>
                    <w:jc w:val="left"/>
                    <w:rPr>
                      <w:rFonts w:hint="eastAsia" w:ascii="宋体" w:hAnsi="宋体" w:eastAsia="宋体" w:cs="宋体"/>
                      <w:color w:val="000000"/>
                      <w:sz w:val="21"/>
                      <w:szCs w:val="21"/>
                    </w:rPr>
                  </w:pPr>
                  <w:r>
                    <w:rPr>
                      <w:rFonts w:hint="eastAsia"/>
                      <w:sz w:val="24"/>
                      <w:szCs w:val="24"/>
                    </w:rPr>
                    <w:t xml:space="preserve">基础率输注误差   </w:t>
                  </w:r>
                  <w:r>
                    <w:rPr>
                      <w:sz w:val="24"/>
                      <w:szCs w:val="24"/>
                    </w:rPr>
                    <w:t>≤</w:t>
                  </w:r>
                  <w:r>
                    <w:rPr>
                      <w:rFonts w:hint="eastAsia"/>
                      <w:sz w:val="24"/>
                      <w:szCs w:val="24"/>
                    </w:rPr>
                    <w:t>0.4%</w:t>
                  </w:r>
                </w:p>
              </w:tc>
            </w:tr>
            <w:tr w14:paraId="5CC1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34CDA5C6">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7B092A5">
                  <w:pPr>
                    <w:spacing w:line="500" w:lineRule="exact"/>
                    <w:jc w:val="left"/>
                    <w:rPr>
                      <w:rFonts w:hint="eastAsia" w:ascii="宋体" w:hAnsi="宋体" w:eastAsia="宋体" w:cs="宋体"/>
                      <w:color w:val="000000"/>
                      <w:sz w:val="21"/>
                      <w:szCs w:val="21"/>
                    </w:rPr>
                  </w:pPr>
                  <w:r>
                    <w:rPr>
                      <w:sz w:val="24"/>
                      <w:szCs w:val="24"/>
                    </w:rPr>
                    <w:t>自检功能</w:t>
                  </w:r>
                  <w:r>
                    <w:rPr>
                      <w:sz w:val="24"/>
                      <w:szCs w:val="24"/>
                    </w:rPr>
                    <w:tab/>
                  </w:r>
                  <w:r>
                    <w:rPr>
                      <w:sz w:val="24"/>
                      <w:szCs w:val="24"/>
                    </w:rPr>
                    <w:t>双处理器相互检查，</w:t>
                  </w:r>
                  <w:r>
                    <w:rPr>
                      <w:rFonts w:hint="eastAsia"/>
                      <w:sz w:val="24"/>
                      <w:szCs w:val="24"/>
                    </w:rPr>
                    <w:t>每2秒一次自检</w:t>
                  </w:r>
                </w:p>
              </w:tc>
            </w:tr>
            <w:tr w14:paraId="61E53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7337BFD7">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B12E779">
                  <w:pPr>
                    <w:spacing w:line="500" w:lineRule="exact"/>
                    <w:jc w:val="left"/>
                    <w:rPr>
                      <w:sz w:val="24"/>
                      <w:szCs w:val="24"/>
                    </w:rPr>
                  </w:pPr>
                  <w:r>
                    <w:rPr>
                      <w:sz w:val="24"/>
                      <w:szCs w:val="24"/>
                    </w:rPr>
                    <w:t>安全系统</w:t>
                  </w:r>
                  <w:r>
                    <w:rPr>
                      <w:sz w:val="24"/>
                      <w:szCs w:val="24"/>
                    </w:rPr>
                    <w:tab/>
                  </w:r>
                  <w:r>
                    <w:rPr>
                      <w:sz w:val="24"/>
                      <w:szCs w:val="24"/>
                    </w:rPr>
                    <w:t>最大餐前大剂量限制/最大日总量限制/每小时最大基础量限制/低药量报警/输注系统阻塞报警/低电量报警/泵故障报警</w:t>
                  </w:r>
                </w:p>
              </w:tc>
            </w:tr>
            <w:tr w14:paraId="1929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bottom w:val="single" w:color="auto" w:sz="4" w:space="0"/>
                    <w:right w:val="single" w:color="auto" w:sz="4" w:space="0"/>
                  </w:tcBorders>
                  <w:noWrap w:val="0"/>
                  <w:vAlign w:val="center"/>
                </w:tcPr>
                <w:p w14:paraId="4325AE92">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1069F0E">
                  <w:pPr>
                    <w:rPr>
                      <w:sz w:val="24"/>
                      <w:szCs w:val="24"/>
                    </w:rPr>
                  </w:pPr>
                  <w:r>
                    <w:rPr>
                      <w:sz w:val="24"/>
                      <w:szCs w:val="24"/>
                    </w:rPr>
                    <w:t>4年免费保修,终身维护。厂家与总经销双重服务，24小时800/400热线电话全真人接听，全国省级城市售后服务网点直接面对客户。</w:t>
                  </w:r>
                </w:p>
              </w:tc>
            </w:tr>
          </w:tbl>
          <w:p w14:paraId="71DA5388">
            <w:pPr>
              <w:pStyle w:val="12"/>
            </w:pPr>
          </w:p>
        </w:tc>
      </w:tr>
      <w:tr w14:paraId="51EF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20249596">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21EBD617">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一、报价要求</w:t>
            </w:r>
          </w:p>
          <w:p w14:paraId="2EA96A83">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42C7B9F">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2、投标人的投标报价，应是本项目招标范围和招标文件及合同条款上所列的各项内容中所述的全部，不得以任何理由予以重复，并以投标人在投标文件中提出的综合单价或总价为依据。</w:t>
            </w:r>
          </w:p>
          <w:p w14:paraId="34CD7599">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C93CF47">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4、投标人应充分了解项目的位置、情况、道路及任何其它足以影响投标报价的情况，任何因忽视或误解项目情况而导致的索赔或服务期限延长申请将不获批准。</w:t>
            </w:r>
          </w:p>
          <w:p w14:paraId="5DCF4B82">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1A146D4">
            <w:pPr>
              <w:ind w:firstLine="420" w:firstLineChars="200"/>
              <w:rPr>
                <w:rFonts w:hint="eastAsia" w:asciiTheme="minorEastAsia" w:hAnsiTheme="minorEastAsia" w:eastAsiaTheme="minorEastAsia"/>
                <w:color w:val="auto"/>
                <w:szCs w:val="21"/>
              </w:rPr>
            </w:pP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、投标人须考虑本项目在实施期间的一切可能产生的费用。在项目实施过程中，如项目工作范围发生变更，由中标人和采购人双方协商解决；其余情况下，投标总价均不予调整。</w:t>
            </w:r>
          </w:p>
          <w:p w14:paraId="7A9F9A78">
            <w:pPr>
              <w:pStyle w:val="7"/>
              <w:rPr>
                <w:color w:val="auto"/>
              </w:rPr>
            </w:pPr>
          </w:p>
          <w:p w14:paraId="48B0E333">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1882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7CDECE55">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序号</w:t>
                  </w:r>
                </w:p>
              </w:tc>
              <w:tc>
                <w:tcPr>
                  <w:tcW w:w="917" w:type="pct"/>
                  <w:vAlign w:val="center"/>
                </w:tcPr>
                <w:p w14:paraId="52B0E14C">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目录</w:t>
                  </w:r>
                </w:p>
              </w:tc>
              <w:tc>
                <w:tcPr>
                  <w:tcW w:w="3377" w:type="pct"/>
                  <w:vAlign w:val="center"/>
                </w:tcPr>
                <w:p w14:paraId="32C09A06">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招标商务需求</w:t>
                  </w:r>
                </w:p>
              </w:tc>
            </w:tr>
            <w:tr w14:paraId="7523E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342577AE">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（一）免费保修期内售后服务要求</w:t>
                  </w:r>
                </w:p>
              </w:tc>
            </w:tr>
            <w:tr w14:paraId="4870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FD0261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tcPr>
                <w:p w14:paraId="65C051E3">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维修响应及故障解决时间</w:t>
                  </w:r>
                </w:p>
              </w:tc>
              <w:tc>
                <w:tcPr>
                  <w:tcW w:w="3377" w:type="pct"/>
                </w:tcPr>
                <w:p w14:paraId="3D47BAF2">
                  <w:pPr>
                    <w:rPr>
                      <w:rFonts w:asciiTheme="minorEastAsia" w:hAnsiTheme="minorEastAsia" w:eastAsiaTheme="minorEastAsia"/>
                      <w:b/>
                      <w:color w:val="auto"/>
                      <w:szCs w:val="21"/>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rPr>
                    <w:t xml:space="preserve"> 小时内响应， 24 小时维修到位（不可抗力情况除外）。消耗品和零配件供应及时。</w:t>
                  </w:r>
                </w:p>
              </w:tc>
            </w:tr>
            <w:tr w14:paraId="3953C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8472F44">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17" w:type="pct"/>
                </w:tcPr>
                <w:p w14:paraId="28D796A6">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关于保修期</w:t>
                  </w:r>
                </w:p>
              </w:tc>
              <w:tc>
                <w:tcPr>
                  <w:tcW w:w="3377" w:type="pct"/>
                </w:tcPr>
                <w:p w14:paraId="2E68EA12">
                  <w:pPr>
                    <w:rPr>
                      <w:rFonts w:asciiTheme="minorEastAsia" w:hAnsiTheme="minorEastAsia" w:eastAsiaTheme="minorEastAsia"/>
                      <w:b/>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货物免费保修期</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highlight w:val="yellow"/>
                      <w:u w:val="single"/>
                      <w:lang w:val="en-US" w:eastAsia="zh-CN"/>
                    </w:rPr>
                    <w:t>3</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rPr>
                    <w:t>年，时间自最终验收合格并交付使用之日起计算。</w:t>
                  </w:r>
                </w:p>
              </w:tc>
            </w:tr>
            <w:tr w14:paraId="36EF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CEEE720">
                  <w:pPr>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w:t>
                  </w:r>
                </w:p>
              </w:tc>
              <w:tc>
                <w:tcPr>
                  <w:tcW w:w="917" w:type="pct"/>
                </w:tcPr>
                <w:p w14:paraId="07ECE207">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关于保修期</w:t>
                  </w:r>
                  <w:r>
                    <w:rPr>
                      <w:rFonts w:hint="eastAsia" w:asciiTheme="minorEastAsia" w:hAnsiTheme="minorEastAsia" w:eastAsiaTheme="minorEastAsia"/>
                      <w:color w:val="auto"/>
                      <w:szCs w:val="21"/>
                      <w:lang w:eastAsia="zh-CN"/>
                    </w:rPr>
                    <w:t>内服务</w:t>
                  </w:r>
                </w:p>
              </w:tc>
              <w:tc>
                <w:tcPr>
                  <w:tcW w:w="3377" w:type="pct"/>
                </w:tcPr>
                <w:p w14:paraId="74E6190A">
                  <w:pPr>
                    <w:rPr>
                      <w:rFonts w:asciiTheme="minorEastAsia" w:hAnsiTheme="minorEastAsia" w:eastAsiaTheme="minorEastAsia"/>
                      <w:bCs/>
                      <w:color w:val="auto"/>
                      <w:szCs w:val="21"/>
                    </w:rPr>
                  </w:pPr>
                  <w:r>
                    <w:rPr>
                      <w:rFonts w:hint="eastAsia" w:ascii="宋体" w:hAnsi="宋体" w:eastAsia="宋体" w:cs="宋体"/>
                      <w:color w:val="auto"/>
                      <w:sz w:val="21"/>
                      <w:szCs w:val="21"/>
                    </w:rPr>
                    <w:t xml:space="preserve">保修期内,年度定期预防性维护保养次数应不少于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次。保修期内免费更换零配件、免工时费。</w:t>
                  </w:r>
                </w:p>
              </w:tc>
            </w:tr>
            <w:tr w14:paraId="4C089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FCADCE2">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917" w:type="pct"/>
                </w:tcPr>
                <w:p w14:paraId="680A6118">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关于维修配件及软件升级</w:t>
                  </w:r>
                </w:p>
              </w:tc>
              <w:tc>
                <w:tcPr>
                  <w:tcW w:w="3377" w:type="pct"/>
                </w:tcPr>
                <w:p w14:paraId="476FD6FE">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投标人负责货物的终身维修，保证 </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 xml:space="preserve"> 年以上供应维修配件， 5 年内免费提供软件升级服务。</w:t>
                  </w:r>
                </w:p>
              </w:tc>
            </w:tr>
            <w:tr w14:paraId="1C6AA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DF258F6">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917" w:type="pct"/>
                </w:tcPr>
                <w:p w14:paraId="3BF5524F">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关于设备设计使用年限</w:t>
                  </w:r>
                </w:p>
              </w:tc>
              <w:tc>
                <w:tcPr>
                  <w:tcW w:w="3377" w:type="pct"/>
                </w:tcPr>
                <w:p w14:paraId="64BDE5C0">
                  <w:pPr>
                    <w:rPr>
                      <w:rFonts w:hint="eastAsia" w:ascii="宋体" w:hAnsi="宋体" w:eastAsia="宋体" w:cs="宋体"/>
                      <w:color w:val="auto"/>
                      <w:sz w:val="21"/>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投标人提供的仪器设备的设计使用年限≥5年。</w:t>
                  </w:r>
                  <w:r>
                    <w:rPr>
                      <w:rFonts w:hint="eastAsia" w:ascii="宋体" w:hAnsi="宋体" w:cs="宋体"/>
                      <w:b/>
                      <w:bCs/>
                      <w:color w:val="auto"/>
                      <w:szCs w:val="21"/>
                    </w:rPr>
                    <w:t>【设计年限需提供设备说明书或由厂家盖章的说明函进行佐证（格式自拟）】</w:t>
                  </w:r>
                </w:p>
              </w:tc>
            </w:tr>
            <w:tr w14:paraId="27CAE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348A0326">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917" w:type="pct"/>
                </w:tcPr>
                <w:p w14:paraId="34BF689E">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关于设备生产日期</w:t>
                  </w:r>
                </w:p>
              </w:tc>
              <w:tc>
                <w:tcPr>
                  <w:tcW w:w="3377" w:type="pct"/>
                </w:tcPr>
                <w:p w14:paraId="436A06E2">
                  <w:pPr>
                    <w:rPr>
                      <w:rFonts w:hint="eastAsia" w:ascii="宋体" w:hAnsi="宋体" w:cs="宋体"/>
                      <w:color w:val="auto"/>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投标人提供的仪器设备的生产日期必须在一年半内生产【</w:t>
                  </w:r>
                  <w:r>
                    <w:rPr>
                      <w:rFonts w:hint="eastAsia" w:ascii="宋体" w:hAnsi="宋体" w:cs="宋体"/>
                      <w:b/>
                      <w:bCs/>
                      <w:color w:val="auto"/>
                      <w:szCs w:val="21"/>
                    </w:rPr>
                    <w:t>生产日期需提供承诺书（格式自拟）</w:t>
                  </w:r>
                  <w:r>
                    <w:rPr>
                      <w:rFonts w:hint="eastAsia" w:ascii="宋体" w:hAnsi="宋体" w:cs="宋体"/>
                      <w:color w:val="auto"/>
                      <w:szCs w:val="21"/>
                    </w:rPr>
                    <w:t>】</w:t>
                  </w:r>
                </w:p>
              </w:tc>
            </w:tr>
            <w:tr w14:paraId="68A7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E3A22E2">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917" w:type="pct"/>
                </w:tcPr>
                <w:p w14:paraId="21E23181">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关于配套试剂及耗材</w:t>
                  </w:r>
                </w:p>
              </w:tc>
              <w:tc>
                <w:tcPr>
                  <w:tcW w:w="3377" w:type="pct"/>
                </w:tcPr>
                <w:p w14:paraId="13FE1882">
                  <w:pPr>
                    <w:rPr>
                      <w:rFonts w:hint="eastAsia" w:ascii="宋体" w:hAnsi="宋体" w:cs="宋体"/>
                      <w:color w:val="auto"/>
                      <w:szCs w:val="21"/>
                    </w:rPr>
                  </w:pPr>
                  <w:r>
                    <w:rPr>
                      <w:rFonts w:hint="eastAsia" w:cs="宋体" w:asciiTheme="minorEastAsia" w:hAnsiTheme="minorEastAsia" w:eastAsiaTheme="minorEastAsia"/>
                      <w:b w:val="0"/>
                      <w:bCs/>
                      <w:color w:val="auto"/>
                      <w:szCs w:val="21"/>
                      <w:highlight w:val="none"/>
                    </w:rPr>
                    <w:t>★</w:t>
                  </w:r>
                  <w:r>
                    <w:rPr>
                      <w:rFonts w:hint="eastAsia" w:ascii="宋体" w:hAnsi="宋体" w:cs="宋体"/>
                      <w:b w:val="0"/>
                      <w:bCs/>
                      <w:color w:val="auto"/>
                      <w:highlight w:val="none"/>
                    </w:rPr>
                    <w:t>承诺</w:t>
                  </w:r>
                  <w:r>
                    <w:rPr>
                      <w:rFonts w:hint="eastAsia" w:ascii="宋体" w:hAnsi="宋体" w:cs="宋体"/>
                      <w:b w:val="0"/>
                      <w:bCs/>
                      <w:color w:val="auto"/>
                      <w:highlight w:val="none"/>
                      <w:lang w:eastAsia="zh-CN"/>
                    </w:rPr>
                    <w:t>可</w:t>
                  </w:r>
                  <w:r>
                    <w:rPr>
                      <w:rFonts w:hint="eastAsia" w:ascii="宋体" w:hAnsi="宋体" w:cs="宋体"/>
                      <w:b w:val="0"/>
                      <w:bCs/>
                      <w:color w:val="auto"/>
                      <w:highlight w:val="none"/>
                    </w:rPr>
                    <w:t>在</w:t>
                  </w:r>
                  <w:r>
                    <w:rPr>
                      <w:rFonts w:ascii="宋体" w:hAnsi="宋体" w:eastAsia="宋体" w:cs="宋体"/>
                      <w:b w:val="0"/>
                      <w:bCs/>
                      <w:color w:val="auto"/>
                      <w:sz w:val="21"/>
                      <w:szCs w:val="21"/>
                      <w:highlight w:val="none"/>
                    </w:rPr>
                    <w:t>深圳医用耗材阳光交易和监管平台</w:t>
                  </w:r>
                  <w:r>
                    <w:rPr>
                      <w:rFonts w:hint="eastAsia" w:ascii="宋体" w:hAnsi="宋体" w:cs="宋体"/>
                      <w:b w:val="0"/>
                      <w:bCs/>
                      <w:color w:val="auto"/>
                      <w:sz w:val="21"/>
                      <w:szCs w:val="21"/>
                      <w:highlight w:val="none"/>
                    </w:rPr>
                    <w:t>上</w:t>
                  </w:r>
                  <w:r>
                    <w:rPr>
                      <w:rFonts w:hint="eastAsia" w:ascii="宋体" w:hAnsi="宋体" w:cs="宋体"/>
                      <w:b w:val="0"/>
                      <w:bCs/>
                      <w:color w:val="auto"/>
                      <w:highlight w:val="none"/>
                    </w:rPr>
                    <w:t>采购仪器配套封闭试剂及耗材，并承诺提供深圳市内最低供货价</w:t>
                  </w:r>
                  <w:r>
                    <w:rPr>
                      <w:rFonts w:hint="eastAsia" w:ascii="宋体" w:hAnsi="宋体" w:cs="宋体"/>
                      <w:b/>
                      <w:bCs w:val="0"/>
                      <w:color w:val="auto"/>
                      <w:highlight w:val="none"/>
                    </w:rPr>
                    <w:t>（提供承诺函，承诺函格式自定）。</w:t>
                  </w:r>
                </w:p>
              </w:tc>
            </w:tr>
            <w:tr w14:paraId="57F41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BEAA90F">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917" w:type="pct"/>
                </w:tcPr>
                <w:p w14:paraId="205C5426">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w:t>
                  </w:r>
                  <w:r>
                    <w:rPr>
                      <w:rFonts w:hint="eastAsia" w:ascii="宋体" w:hAnsi="宋体" w:cs="宋体"/>
                      <w:bCs/>
                      <w:color w:val="auto"/>
                      <w:szCs w:val="21"/>
                      <w:highlight w:val="none"/>
                    </w:rPr>
                    <w:t>零配件、消耗品和延续保修</w:t>
                  </w:r>
                </w:p>
              </w:tc>
              <w:tc>
                <w:tcPr>
                  <w:tcW w:w="3377" w:type="pct"/>
                </w:tcPr>
                <w:p w14:paraId="31D5BC55">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51845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490C70BD">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917" w:type="pct"/>
                </w:tcPr>
                <w:p w14:paraId="5BD44E89">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关于设备开机率</w:t>
                  </w:r>
                </w:p>
              </w:tc>
              <w:tc>
                <w:tcPr>
                  <w:tcW w:w="3377" w:type="pct"/>
                </w:tcPr>
                <w:p w14:paraId="3F8A55F3">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3978707B">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7A1B102E">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368B3247">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3E1382D2">
                  <w:pPr>
                    <w:rPr>
                      <w:rFonts w:hint="eastAsia" w:ascii="宋体" w:hAnsi="宋体" w:cs="宋体"/>
                      <w:color w:val="auto"/>
                      <w:szCs w:val="21"/>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79C7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08BCD064">
                  <w:pPr>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10</w:t>
                  </w:r>
                </w:p>
              </w:tc>
              <w:tc>
                <w:tcPr>
                  <w:tcW w:w="917" w:type="pct"/>
                  <w:vAlign w:val="center"/>
                </w:tcPr>
                <w:p w14:paraId="218A312F">
                  <w:pP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其他</w:t>
                  </w:r>
                </w:p>
              </w:tc>
              <w:tc>
                <w:tcPr>
                  <w:tcW w:w="3377" w:type="pct"/>
                  <w:vAlign w:val="center"/>
                </w:tcPr>
                <w:p w14:paraId="68C0CD27">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投标人应按其投标文件中的承诺，进行其他售后服务工作。</w:t>
                  </w:r>
                </w:p>
              </w:tc>
            </w:tr>
            <w:tr w14:paraId="320F1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14FA51CA">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3A09A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0BCFD70D">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2D63CB36">
                  <w:pPr>
                    <w:rPr>
                      <w:rFonts w:asciiTheme="minorEastAsia" w:hAnsiTheme="minorEastAsia" w:eastAsiaTheme="minorEastAsia"/>
                      <w:b/>
                      <w:color w:val="auto"/>
                      <w:szCs w:val="21"/>
                      <w:highlight w:val="none"/>
                    </w:rPr>
                  </w:pPr>
                </w:p>
              </w:tc>
              <w:tc>
                <w:tcPr>
                  <w:tcW w:w="3377" w:type="pct"/>
                </w:tcPr>
                <w:p w14:paraId="2878BBB8">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45FA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43EF882B">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（三）其他商务要求</w:t>
                  </w:r>
                </w:p>
              </w:tc>
            </w:tr>
            <w:tr w14:paraId="416E2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5650EEEA">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vMerge w:val="restart"/>
                  <w:vAlign w:val="center"/>
                </w:tcPr>
                <w:p w14:paraId="1CF90D29">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关于交货</w:t>
                  </w:r>
                </w:p>
              </w:tc>
              <w:tc>
                <w:tcPr>
                  <w:tcW w:w="3377" w:type="pct"/>
                </w:tcPr>
                <w:p w14:paraId="3CD6A5EF">
                  <w:pPr>
                    <w:rPr>
                      <w:rFonts w:asciiTheme="minorEastAsia" w:hAnsiTheme="minorEastAsia" w:eastAsiaTheme="minorEastAsia"/>
                      <w:bCs/>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1.1</w:t>
                  </w:r>
                  <w:r>
                    <w:rPr>
                      <w:rFonts w:hint="eastAsia"/>
                      <w:color w:val="auto"/>
                    </w:rPr>
                    <w:t xml:space="preserve">签订合同后  </w:t>
                  </w:r>
                  <w:r>
                    <w:rPr>
                      <w:rFonts w:hint="eastAsia"/>
                      <w:color w:val="auto"/>
                      <w:u w:val="single"/>
                    </w:rPr>
                    <w:t xml:space="preserve"> </w:t>
                  </w:r>
                  <w:r>
                    <w:rPr>
                      <w:rFonts w:hint="eastAsia"/>
                      <w:color w:val="auto"/>
                      <w:highlight w:val="yellow"/>
                      <w:u w:val="single"/>
                      <w:lang w:val="en-US" w:eastAsia="zh-CN"/>
                    </w:rPr>
                    <w:t>30</w:t>
                  </w:r>
                  <w:r>
                    <w:rPr>
                      <w:rFonts w:hint="eastAsia"/>
                      <w:color w:val="auto"/>
                      <w:u w:val="single"/>
                    </w:rPr>
                    <w:t xml:space="preserve"> </w:t>
                  </w:r>
                  <w:r>
                    <w:rPr>
                      <w:rFonts w:hint="eastAsia"/>
                      <w:color w:val="auto"/>
                    </w:rPr>
                    <w:t xml:space="preserve"> 天（日历日）内交货。</w:t>
                  </w:r>
                </w:p>
              </w:tc>
            </w:tr>
            <w:tr w14:paraId="280B6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67DE3F7B">
                  <w:pPr>
                    <w:jc w:val="center"/>
                    <w:rPr>
                      <w:rFonts w:hint="eastAsia" w:asciiTheme="minorEastAsia" w:hAnsiTheme="minorEastAsia" w:eastAsiaTheme="minorEastAsia"/>
                      <w:b/>
                      <w:color w:val="auto"/>
                      <w:szCs w:val="21"/>
                    </w:rPr>
                  </w:pPr>
                </w:p>
              </w:tc>
              <w:tc>
                <w:tcPr>
                  <w:tcW w:w="917" w:type="pct"/>
                  <w:vMerge w:val="continue"/>
                  <w:vAlign w:val="center"/>
                </w:tcPr>
                <w:p w14:paraId="6B7CB22B">
                  <w:pPr>
                    <w:jc w:val="center"/>
                    <w:rPr>
                      <w:rFonts w:hint="eastAsia" w:asciiTheme="minorEastAsia" w:hAnsiTheme="minorEastAsia" w:eastAsiaTheme="minorEastAsia"/>
                      <w:color w:val="auto"/>
                      <w:szCs w:val="21"/>
                    </w:rPr>
                  </w:pPr>
                </w:p>
              </w:tc>
              <w:tc>
                <w:tcPr>
                  <w:tcW w:w="3377" w:type="pct"/>
                </w:tcPr>
                <w:p w14:paraId="785DD4CA">
                  <w:pP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val="en-US" w:eastAsia="zh-CN"/>
                    </w:rPr>
                    <w:t>1.2</w:t>
                  </w:r>
                  <w:r>
                    <w:rPr>
                      <w:rFonts w:hint="eastAsia" w:asciiTheme="minorEastAsia" w:hAnsiTheme="minorEastAsia" w:eastAsiaTheme="minorEastAsia"/>
                      <w:bCs/>
                      <w:color w:val="auto"/>
                      <w:szCs w:val="21"/>
                    </w:rPr>
                    <w:t>交货地点：</w:t>
                  </w:r>
                  <w:r>
                    <w:rPr>
                      <w:rFonts w:hint="eastAsia" w:ascii="宋体" w:hAnsi="宋体"/>
                      <w:color w:val="auto"/>
                      <w:szCs w:val="21"/>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4D7B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2D191C2B">
                  <w:pPr>
                    <w:jc w:val="center"/>
                    <w:rPr>
                      <w:rFonts w:asciiTheme="minorEastAsia" w:hAnsiTheme="minorEastAsia" w:eastAsiaTheme="minorEastAsia"/>
                      <w:b/>
                      <w:color w:val="auto"/>
                      <w:szCs w:val="21"/>
                    </w:rPr>
                  </w:pPr>
                </w:p>
              </w:tc>
              <w:tc>
                <w:tcPr>
                  <w:tcW w:w="917" w:type="pct"/>
                  <w:vMerge w:val="continue"/>
                  <w:vAlign w:val="center"/>
                </w:tcPr>
                <w:p w14:paraId="16DFB632">
                  <w:pPr>
                    <w:jc w:val="center"/>
                    <w:rPr>
                      <w:rFonts w:asciiTheme="minorEastAsia" w:hAnsiTheme="minorEastAsia" w:eastAsiaTheme="minorEastAsia"/>
                      <w:color w:val="auto"/>
                      <w:szCs w:val="21"/>
                    </w:rPr>
                  </w:pPr>
                </w:p>
              </w:tc>
              <w:tc>
                <w:tcPr>
                  <w:tcW w:w="3377" w:type="pct"/>
                </w:tcPr>
                <w:p w14:paraId="45265F9B">
                  <w:pP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w:t>
                  </w:r>
                  <w:r>
                    <w:rPr>
                      <w:rFonts w:hint="eastAsia" w:asciiTheme="minorEastAsia" w:hAnsiTheme="minorEastAsia" w:eastAsiaTheme="minorEastAsia"/>
                      <w:bCs/>
                      <w:color w:val="auto"/>
                      <w:szCs w:val="21"/>
                      <w:lang w:val="en-US" w:eastAsia="zh-CN"/>
                    </w:rPr>
                    <w:t>3</w:t>
                  </w:r>
                  <w:r>
                    <w:rPr>
                      <w:rFonts w:hint="eastAsia" w:ascii="宋体" w:hAnsi="宋体"/>
                      <w:color w:val="auto"/>
                      <w:szCs w:val="21"/>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230CF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2A516B87">
                  <w:pPr>
                    <w:jc w:val="center"/>
                    <w:rPr>
                      <w:rFonts w:asciiTheme="minorEastAsia" w:hAnsiTheme="minorEastAsia" w:eastAsiaTheme="minorEastAsia"/>
                      <w:b/>
                      <w:color w:val="auto"/>
                      <w:szCs w:val="21"/>
                    </w:rPr>
                  </w:pPr>
                </w:p>
              </w:tc>
              <w:tc>
                <w:tcPr>
                  <w:tcW w:w="917" w:type="pct"/>
                  <w:vMerge w:val="continue"/>
                  <w:vAlign w:val="center"/>
                </w:tcPr>
                <w:p w14:paraId="2DAA77A3">
                  <w:pPr>
                    <w:jc w:val="center"/>
                    <w:rPr>
                      <w:rFonts w:asciiTheme="minorEastAsia" w:hAnsiTheme="minorEastAsia" w:eastAsiaTheme="minorEastAsia"/>
                      <w:color w:val="auto"/>
                      <w:szCs w:val="21"/>
                    </w:rPr>
                  </w:pPr>
                </w:p>
              </w:tc>
              <w:tc>
                <w:tcPr>
                  <w:tcW w:w="3377" w:type="pct"/>
                </w:tcPr>
                <w:p w14:paraId="277D6A42">
                  <w:pPr>
                    <w:rPr>
                      <w:rFonts w:hint="eastAsia" w:asciiTheme="minorEastAsia" w:hAnsiTheme="minorEastAsia" w:eastAsiaTheme="minorEastAsia"/>
                      <w:bCs/>
                      <w:color w:val="auto"/>
                      <w:szCs w:val="21"/>
                    </w:rPr>
                  </w:pPr>
                  <w:r>
                    <w:rPr>
                      <w:rFonts w:hint="eastAsia" w:ascii="宋体" w:hAnsi="宋体" w:cs="宋体"/>
                      <w:bCs/>
                      <w:color w:val="auto"/>
                      <w:szCs w:val="21"/>
                      <w:lang w:val="en-US" w:eastAsia="zh-CN"/>
                    </w:rPr>
                    <w:t>1.4</w:t>
                  </w:r>
                  <w:r>
                    <w:rPr>
                      <w:rFonts w:hint="eastAsia" w:ascii="宋体" w:hAnsi="宋体"/>
                      <w:color w:val="auto"/>
                      <w:szCs w:val="21"/>
                    </w:rPr>
                    <w:t>中标人</w:t>
                  </w:r>
                  <w:r>
                    <w:rPr>
                      <w:rFonts w:hint="eastAsia" w:ascii="宋体" w:hAnsi="宋体" w:cs="宋体"/>
                      <w:bCs/>
                      <w:color w:val="auto"/>
                      <w:szCs w:val="21"/>
                    </w:rPr>
                    <w:t>提供的货物必须为全新、经检验合格的产品。</w:t>
                  </w:r>
                  <w:r>
                    <w:rPr>
                      <w:rFonts w:hint="eastAsia" w:ascii="宋体" w:hAnsi="宋体" w:cs="宋体"/>
                      <w:bCs/>
                      <w:color w:val="auto"/>
                      <w:szCs w:val="21"/>
                      <w:highlight w:val="none"/>
                    </w:rPr>
                    <w:t>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1A0C0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78CFD5E9">
                  <w:pPr>
                    <w:jc w:val="center"/>
                    <w:rPr>
                      <w:rFonts w:asciiTheme="minorEastAsia" w:hAnsiTheme="minorEastAsia" w:eastAsiaTheme="minorEastAsia"/>
                      <w:b/>
                      <w:color w:val="auto"/>
                      <w:szCs w:val="21"/>
                    </w:rPr>
                  </w:pPr>
                </w:p>
              </w:tc>
              <w:tc>
                <w:tcPr>
                  <w:tcW w:w="917" w:type="pct"/>
                  <w:vMerge w:val="continue"/>
                  <w:vAlign w:val="center"/>
                </w:tcPr>
                <w:p w14:paraId="067EF7AD">
                  <w:pPr>
                    <w:jc w:val="center"/>
                    <w:rPr>
                      <w:rFonts w:asciiTheme="minorEastAsia" w:hAnsiTheme="minorEastAsia" w:eastAsiaTheme="minorEastAsia"/>
                      <w:color w:val="auto"/>
                      <w:szCs w:val="21"/>
                    </w:rPr>
                  </w:pPr>
                </w:p>
              </w:tc>
              <w:tc>
                <w:tcPr>
                  <w:tcW w:w="3377" w:type="pct"/>
                </w:tcPr>
                <w:p w14:paraId="6D2DCFE7">
                  <w:pPr>
                    <w:rPr>
                      <w:rFonts w:hint="eastAsia" w:eastAsia="宋体"/>
                      <w:color w:val="auto"/>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0D3D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20747855">
                  <w:pPr>
                    <w:jc w:val="center"/>
                    <w:rPr>
                      <w:rFonts w:asciiTheme="minorEastAsia" w:hAnsiTheme="minorEastAsia" w:eastAsiaTheme="minorEastAsia"/>
                      <w:b/>
                      <w:color w:val="auto"/>
                      <w:szCs w:val="21"/>
                    </w:rPr>
                  </w:pPr>
                </w:p>
              </w:tc>
              <w:tc>
                <w:tcPr>
                  <w:tcW w:w="917" w:type="pct"/>
                  <w:vMerge w:val="continue"/>
                  <w:vAlign w:val="center"/>
                </w:tcPr>
                <w:p w14:paraId="0417CFA0">
                  <w:pPr>
                    <w:jc w:val="center"/>
                    <w:rPr>
                      <w:rFonts w:asciiTheme="minorEastAsia" w:hAnsiTheme="minorEastAsia" w:eastAsiaTheme="minorEastAsia"/>
                      <w:color w:val="auto"/>
                      <w:szCs w:val="21"/>
                    </w:rPr>
                  </w:pPr>
                </w:p>
              </w:tc>
              <w:tc>
                <w:tcPr>
                  <w:tcW w:w="3377" w:type="pct"/>
                </w:tcPr>
                <w:p w14:paraId="00A8040D">
                  <w:pPr>
                    <w:rPr>
                      <w:rFonts w:hint="eastAsia"/>
                      <w:color w:val="auto"/>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yellow"/>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yellow"/>
                      <w:u w:val="single"/>
                    </w:rPr>
                    <w:t xml:space="preserve"> 5 </w:t>
                  </w:r>
                  <w:r>
                    <w:rPr>
                      <w:rFonts w:hint="eastAsia" w:ascii="宋体" w:hAnsi="宋体" w:cs="宋体"/>
                      <w:color w:val="auto"/>
                      <w:szCs w:val="21"/>
                      <w:highlight w:val="none"/>
                    </w:rPr>
                    <w:t>天内安装调试完毕。</w:t>
                  </w:r>
                </w:p>
              </w:tc>
            </w:tr>
            <w:tr w14:paraId="4DA63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34FB61F5">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w:t>
                  </w:r>
                </w:p>
              </w:tc>
              <w:tc>
                <w:tcPr>
                  <w:tcW w:w="917" w:type="pct"/>
                  <w:vMerge w:val="restart"/>
                  <w:vAlign w:val="center"/>
                </w:tcPr>
                <w:p w14:paraId="0D81A797">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关于验收</w:t>
                  </w:r>
                </w:p>
              </w:tc>
              <w:tc>
                <w:tcPr>
                  <w:tcW w:w="3377" w:type="pct"/>
                </w:tcPr>
                <w:p w14:paraId="2A229E8F">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2.1</w:t>
                  </w:r>
                  <w:r>
                    <w:rPr>
                      <w:rFonts w:hint="eastAsia" w:ascii="宋体" w:hAnsi="宋体"/>
                      <w:color w:val="auto"/>
                      <w:szCs w:val="21"/>
                    </w:rPr>
                    <w:t>中标人</w:t>
                  </w:r>
                  <w:r>
                    <w:rPr>
                      <w:rFonts w:hint="eastAsia" w:asciiTheme="minorEastAsia" w:hAnsiTheme="minorEastAsia" w:eastAsiaTheme="minorEastAsia"/>
                      <w:bCs/>
                      <w:color w:val="auto"/>
                      <w:szCs w:val="21"/>
                    </w:rPr>
                    <w:t>货物经过双方检验认可后，签署验收报告，产品保修期自验收合格之日起算，由投标人提供产品保修文件。</w:t>
                  </w:r>
                </w:p>
              </w:tc>
            </w:tr>
            <w:tr w14:paraId="3DF54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0F6EF010">
                  <w:pPr>
                    <w:jc w:val="center"/>
                    <w:rPr>
                      <w:rFonts w:asciiTheme="minorEastAsia" w:hAnsiTheme="minorEastAsia" w:eastAsiaTheme="minorEastAsia"/>
                      <w:b/>
                      <w:color w:val="auto"/>
                      <w:szCs w:val="21"/>
                    </w:rPr>
                  </w:pPr>
                </w:p>
              </w:tc>
              <w:tc>
                <w:tcPr>
                  <w:tcW w:w="917" w:type="pct"/>
                  <w:vMerge w:val="continue"/>
                  <w:vAlign w:val="center"/>
                </w:tcPr>
                <w:p w14:paraId="3E3C94E3">
                  <w:pPr>
                    <w:jc w:val="center"/>
                    <w:rPr>
                      <w:rFonts w:asciiTheme="minorEastAsia" w:hAnsiTheme="minorEastAsia" w:eastAsiaTheme="minorEastAsia"/>
                      <w:b/>
                      <w:color w:val="auto"/>
                      <w:szCs w:val="21"/>
                    </w:rPr>
                  </w:pPr>
                </w:p>
              </w:tc>
              <w:tc>
                <w:tcPr>
                  <w:tcW w:w="3377" w:type="pct"/>
                </w:tcPr>
                <w:p w14:paraId="43EF82C0">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2.2当满足以下条件时，采购人才向中标人签发货物验收报告：</w:t>
                  </w:r>
                </w:p>
                <w:p w14:paraId="0129742C">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a</w:t>
                  </w:r>
                  <w:r>
                    <w:rPr>
                      <w:rFonts w:hint="eastAsia" w:asciiTheme="minorEastAsia" w:hAnsiTheme="minorEastAsia" w:eastAsiaTheme="minorEastAsia"/>
                      <w:bCs/>
                      <w:color w:val="auto"/>
                      <w:szCs w:val="21"/>
                    </w:rPr>
                    <w:t>、中标人已按照合同规定提供了全部产品及完整的技术资料。</w:t>
                  </w:r>
                </w:p>
                <w:p w14:paraId="576C2E13">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b</w:t>
                  </w:r>
                  <w:r>
                    <w:rPr>
                      <w:rFonts w:hint="eastAsia" w:asciiTheme="minorEastAsia" w:hAnsiTheme="minorEastAsia" w:eastAsiaTheme="minorEastAsia"/>
                      <w:bCs/>
                      <w:color w:val="auto"/>
                      <w:szCs w:val="21"/>
                    </w:rPr>
                    <w:t>、货物符合招标文件技术规格书的要求，性能满足要求。</w:t>
                  </w:r>
                </w:p>
              </w:tc>
            </w:tr>
            <w:tr w14:paraId="7854B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5B5AED74">
                  <w:pPr>
                    <w:jc w:val="center"/>
                    <w:rPr>
                      <w:rFonts w:asciiTheme="minorEastAsia" w:hAnsiTheme="minorEastAsia" w:eastAsiaTheme="minorEastAsia"/>
                      <w:b/>
                      <w:color w:val="auto"/>
                      <w:szCs w:val="21"/>
                    </w:rPr>
                  </w:pPr>
                </w:p>
              </w:tc>
              <w:tc>
                <w:tcPr>
                  <w:tcW w:w="917" w:type="pct"/>
                  <w:vMerge w:val="continue"/>
                  <w:vAlign w:val="center"/>
                </w:tcPr>
                <w:p w14:paraId="15E07042">
                  <w:pPr>
                    <w:jc w:val="center"/>
                    <w:rPr>
                      <w:rFonts w:asciiTheme="minorEastAsia" w:hAnsiTheme="minorEastAsia" w:eastAsiaTheme="minorEastAsia"/>
                      <w:b/>
                      <w:color w:val="auto"/>
                      <w:szCs w:val="21"/>
                    </w:rPr>
                  </w:pPr>
                </w:p>
              </w:tc>
              <w:tc>
                <w:tcPr>
                  <w:tcW w:w="3377" w:type="pct"/>
                </w:tcPr>
                <w:p w14:paraId="48C57393">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2.3</w:t>
                  </w:r>
                  <w:r>
                    <w:rPr>
                      <w:rFonts w:hint="eastAsia" w:ascii="宋体" w:hAnsi="宋体" w:cs="宋体"/>
                      <w:color w:val="auto"/>
                      <w:szCs w:val="21"/>
                      <w:highlight w:val="none"/>
                    </w:rPr>
                    <w:t>由</w:t>
                  </w:r>
                  <w:r>
                    <w:rPr>
                      <w:rFonts w:hint="eastAsia" w:ascii="宋体" w:hAnsi="宋体"/>
                      <w:color w:val="auto"/>
                      <w:szCs w:val="21"/>
                    </w:rPr>
                    <w:t>中标人</w:t>
                  </w:r>
                  <w:r>
                    <w:rPr>
                      <w:rFonts w:hint="eastAsia" w:ascii="宋体" w:hAnsi="宋体" w:cs="宋体"/>
                      <w:color w:val="auto"/>
                      <w:szCs w:val="21"/>
                      <w:highlight w:val="none"/>
                    </w:rPr>
                    <w:t>代表和采购人组成验收小组对产品进行验收。验收标准按照国家规定标准执行。经检验设备正常运作后签署验收报告,产品保修期自验收合格之日起算。</w:t>
                  </w:r>
                </w:p>
              </w:tc>
            </w:tr>
            <w:tr w14:paraId="1FC6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2E4D1757">
                  <w:pPr>
                    <w:jc w:val="center"/>
                    <w:rPr>
                      <w:rFonts w:asciiTheme="minorEastAsia" w:hAnsiTheme="minorEastAsia" w:eastAsiaTheme="minorEastAsia"/>
                      <w:color w:val="auto"/>
                      <w:szCs w:val="21"/>
                    </w:rPr>
                  </w:pPr>
                  <w:r>
                    <w:rPr>
                      <w:rFonts w:hint="eastAsia" w:asciiTheme="minorEastAsia" w:hAnsiTheme="minorEastAsia" w:eastAsiaTheme="minorEastAsia"/>
                      <w:b/>
                      <w:color w:val="auto"/>
                      <w:szCs w:val="21"/>
                    </w:rPr>
                    <w:t>3</w:t>
                  </w:r>
                </w:p>
              </w:tc>
              <w:tc>
                <w:tcPr>
                  <w:tcW w:w="917" w:type="pct"/>
                  <w:vMerge w:val="restart"/>
                  <w:vAlign w:val="center"/>
                </w:tcPr>
                <w:p w14:paraId="1D0C30E5">
                  <w:pPr>
                    <w:jc w:val="cente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关于违约</w:t>
                  </w:r>
                </w:p>
              </w:tc>
              <w:tc>
                <w:tcPr>
                  <w:tcW w:w="3377" w:type="pct"/>
                </w:tcPr>
                <w:p w14:paraId="07CEC6E0">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rPr>
                    <w:t>3.1</w:t>
                  </w:r>
                  <w:r>
                    <w:rPr>
                      <w:rFonts w:hint="eastAsia" w:ascii="宋体" w:hAnsi="宋体"/>
                      <w:b w:val="0"/>
                      <w:bCs/>
                      <w:color w:val="auto"/>
                      <w:szCs w:val="21"/>
                    </w:rPr>
                    <w:t>中标</w:t>
                  </w:r>
                  <w:r>
                    <w:rPr>
                      <w:rFonts w:hint="eastAsia" w:ascii="宋体" w:hAnsi="宋体"/>
                      <w:color w:val="auto"/>
                      <w:szCs w:val="21"/>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79D7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22F17DD">
                  <w:pPr>
                    <w:jc w:val="center"/>
                    <w:rPr>
                      <w:rFonts w:hint="eastAsia" w:asciiTheme="minorEastAsia" w:hAnsiTheme="minorEastAsia" w:eastAsiaTheme="minorEastAsia"/>
                      <w:b/>
                      <w:color w:val="auto"/>
                      <w:szCs w:val="21"/>
                    </w:rPr>
                  </w:pPr>
                </w:p>
              </w:tc>
              <w:tc>
                <w:tcPr>
                  <w:tcW w:w="917" w:type="pct"/>
                  <w:vMerge w:val="continue"/>
                  <w:vAlign w:val="center"/>
                </w:tcPr>
                <w:p w14:paraId="04748DA9">
                  <w:pPr>
                    <w:jc w:val="center"/>
                    <w:rPr>
                      <w:rFonts w:hint="eastAsia" w:asciiTheme="minorEastAsia" w:hAnsiTheme="minorEastAsia" w:eastAsiaTheme="minorEastAsia"/>
                      <w:color w:val="auto"/>
                      <w:szCs w:val="21"/>
                    </w:rPr>
                  </w:pPr>
                </w:p>
              </w:tc>
              <w:tc>
                <w:tcPr>
                  <w:tcW w:w="3377" w:type="pct"/>
                </w:tcPr>
                <w:p w14:paraId="0A721569">
                  <w:pPr>
                    <w:rPr>
                      <w:rFonts w:hint="eastAsia" w:asciiTheme="minorEastAsia" w:hAnsiTheme="minorEastAsia" w:eastAsiaTheme="minorEastAsia"/>
                      <w:b/>
                      <w:color w:val="auto"/>
                      <w:szCs w:val="21"/>
                    </w:rPr>
                  </w:pPr>
                  <w:r>
                    <w:rPr>
                      <w:rFonts w:hint="eastAsia" w:ascii="宋体" w:hAnsi="宋体" w:cs="宋体"/>
                      <w:bCs/>
                      <w:color w:val="auto"/>
                      <w:szCs w:val="21"/>
                      <w:highlight w:val="none"/>
                      <w:lang w:val="en-US" w:eastAsia="zh-CN"/>
                    </w:rPr>
                    <w:t>3.2</w:t>
                  </w:r>
                  <w:r>
                    <w:rPr>
                      <w:rFonts w:hint="eastAsia" w:ascii="宋体" w:hAnsi="宋体"/>
                      <w:color w:val="auto"/>
                      <w:szCs w:val="21"/>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7A5F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EB82771">
                  <w:pPr>
                    <w:jc w:val="center"/>
                    <w:rPr>
                      <w:rFonts w:hint="eastAsia" w:asciiTheme="minorEastAsia" w:hAnsiTheme="minorEastAsia" w:eastAsiaTheme="minorEastAsia"/>
                      <w:b/>
                      <w:color w:val="auto"/>
                      <w:szCs w:val="21"/>
                    </w:rPr>
                  </w:pPr>
                </w:p>
              </w:tc>
              <w:tc>
                <w:tcPr>
                  <w:tcW w:w="917" w:type="pct"/>
                  <w:vMerge w:val="continue"/>
                  <w:vAlign w:val="center"/>
                </w:tcPr>
                <w:p w14:paraId="28F8E426">
                  <w:pPr>
                    <w:jc w:val="center"/>
                    <w:rPr>
                      <w:rFonts w:hint="eastAsia" w:asciiTheme="minorEastAsia" w:hAnsiTheme="minorEastAsia" w:eastAsiaTheme="minorEastAsia"/>
                      <w:color w:val="auto"/>
                      <w:szCs w:val="21"/>
                    </w:rPr>
                  </w:pPr>
                </w:p>
              </w:tc>
              <w:tc>
                <w:tcPr>
                  <w:tcW w:w="3377" w:type="pct"/>
                </w:tcPr>
                <w:p w14:paraId="440FB8B8">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020B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2B033D91">
                  <w:pPr>
                    <w:jc w:val="center"/>
                    <w:rPr>
                      <w:rFonts w:hint="eastAsia" w:asciiTheme="minorEastAsia" w:hAnsiTheme="minorEastAsia" w:eastAsiaTheme="minorEastAsia"/>
                      <w:b/>
                      <w:color w:val="auto"/>
                      <w:szCs w:val="21"/>
                    </w:rPr>
                  </w:pPr>
                </w:p>
              </w:tc>
              <w:tc>
                <w:tcPr>
                  <w:tcW w:w="917" w:type="pct"/>
                  <w:vMerge w:val="continue"/>
                  <w:vAlign w:val="center"/>
                </w:tcPr>
                <w:p w14:paraId="463B7411">
                  <w:pPr>
                    <w:jc w:val="center"/>
                    <w:rPr>
                      <w:rFonts w:hint="eastAsia" w:asciiTheme="minorEastAsia" w:hAnsiTheme="minorEastAsia" w:eastAsiaTheme="minorEastAsia"/>
                      <w:color w:val="auto"/>
                      <w:szCs w:val="21"/>
                    </w:rPr>
                  </w:pPr>
                </w:p>
              </w:tc>
              <w:tc>
                <w:tcPr>
                  <w:tcW w:w="3377" w:type="pct"/>
                </w:tcPr>
                <w:p w14:paraId="080ADBBD">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31EA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2EEDA3B1">
                  <w:pPr>
                    <w:jc w:val="center"/>
                    <w:rPr>
                      <w:rFonts w:hint="eastAsia" w:asciiTheme="minorEastAsia" w:hAnsiTheme="minorEastAsia" w:eastAsiaTheme="minorEastAsia"/>
                      <w:b/>
                      <w:color w:val="auto"/>
                      <w:szCs w:val="21"/>
                    </w:rPr>
                  </w:pPr>
                </w:p>
              </w:tc>
              <w:tc>
                <w:tcPr>
                  <w:tcW w:w="917" w:type="pct"/>
                  <w:vMerge w:val="continue"/>
                  <w:vAlign w:val="center"/>
                </w:tcPr>
                <w:p w14:paraId="5AAB1C03">
                  <w:pPr>
                    <w:jc w:val="center"/>
                    <w:rPr>
                      <w:rFonts w:hint="eastAsia" w:asciiTheme="minorEastAsia" w:hAnsiTheme="minorEastAsia" w:eastAsiaTheme="minorEastAsia"/>
                      <w:color w:val="auto"/>
                      <w:szCs w:val="21"/>
                    </w:rPr>
                  </w:pPr>
                </w:p>
              </w:tc>
              <w:tc>
                <w:tcPr>
                  <w:tcW w:w="3377" w:type="pct"/>
                </w:tcPr>
                <w:p w14:paraId="1F1F5EAD">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rPr>
                    <w:t>中标人</w:t>
                  </w:r>
                  <w:r>
                    <w:rPr>
                      <w:rFonts w:hint="eastAsia" w:asciiTheme="minorEastAsia" w:hAnsiTheme="minorEastAsia" w:eastAsiaTheme="minorEastAsia"/>
                      <w:b w:val="0"/>
                      <w:bCs/>
                      <w:color w:val="auto"/>
                      <w:szCs w:val="21"/>
                    </w:rPr>
                    <w:t>逾期交货的，将被没收履约保证金并按主管部门相关规定处理</w:t>
                  </w:r>
                  <w:r>
                    <w:rPr>
                      <w:rFonts w:hint="eastAsia" w:asciiTheme="minorEastAsia" w:hAnsiTheme="minorEastAsia" w:eastAsiaTheme="minorEastAsia"/>
                      <w:b w:val="0"/>
                      <w:bCs/>
                      <w:color w:val="auto"/>
                      <w:szCs w:val="21"/>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rPr>
                    <w:t>中标人</w:t>
                  </w:r>
                  <w:r>
                    <w:rPr>
                      <w:rFonts w:hint="eastAsia" w:ascii="宋体" w:hAnsi="宋体" w:cs="宋体"/>
                      <w:b w:val="0"/>
                      <w:bCs/>
                      <w:color w:val="auto"/>
                      <w:szCs w:val="21"/>
                      <w:highlight w:val="none"/>
                    </w:rPr>
                    <w:t>补齐。</w:t>
                  </w:r>
                </w:p>
              </w:tc>
            </w:tr>
            <w:tr w14:paraId="6CDB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0AD82F65">
                  <w:pPr>
                    <w:jc w:val="center"/>
                    <w:rPr>
                      <w:rFonts w:asciiTheme="minorEastAsia" w:hAnsiTheme="minorEastAsia" w:eastAsiaTheme="minorEastAsia"/>
                      <w:b/>
                      <w:color w:val="auto"/>
                      <w:szCs w:val="21"/>
                    </w:rPr>
                  </w:pPr>
                </w:p>
              </w:tc>
              <w:tc>
                <w:tcPr>
                  <w:tcW w:w="917" w:type="pct"/>
                  <w:vMerge w:val="continue"/>
                  <w:vAlign w:val="center"/>
                </w:tcPr>
                <w:p w14:paraId="5B0B2BAE">
                  <w:pPr>
                    <w:jc w:val="center"/>
                    <w:rPr>
                      <w:rFonts w:asciiTheme="minorEastAsia" w:hAnsiTheme="minorEastAsia" w:eastAsiaTheme="minorEastAsia"/>
                      <w:color w:val="auto"/>
                      <w:szCs w:val="21"/>
                    </w:rPr>
                  </w:pPr>
                </w:p>
              </w:tc>
              <w:tc>
                <w:tcPr>
                  <w:tcW w:w="3377" w:type="pct"/>
                </w:tcPr>
                <w:p w14:paraId="67CAC37F">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0269E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9360387">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43CB9B08">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772B1AD2">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4.1</w:t>
                  </w:r>
                  <w:r>
                    <w:rPr>
                      <w:rFonts w:hint="eastAsia" w:asciiTheme="minorEastAsia" w:hAnsiTheme="minorEastAsia" w:eastAsiaTheme="minorEastAsia"/>
                      <w:b w:val="0"/>
                      <w:bCs/>
                      <w:color w:val="auto"/>
                      <w:szCs w:val="21"/>
                    </w:rPr>
                    <w:t>全部合同货物到达交货地点，并安装调试且验收合格后，</w:t>
                  </w:r>
                  <w:r>
                    <w:rPr>
                      <w:rFonts w:hint="eastAsia" w:asciiTheme="minorEastAsia" w:hAnsiTheme="minorEastAsia" w:eastAsiaTheme="minorEastAsia"/>
                      <w:b w:val="0"/>
                      <w:bCs/>
                      <w:color w:val="auto"/>
                      <w:szCs w:val="21"/>
                      <w:lang w:eastAsia="zh-CN"/>
                    </w:rPr>
                    <w:t>提交验收资料</w:t>
                  </w:r>
                  <w:r>
                    <w:rPr>
                      <w:rFonts w:hint="eastAsia" w:asciiTheme="minorEastAsia" w:hAnsiTheme="minorEastAsia" w:eastAsiaTheme="minorEastAsia"/>
                      <w:b w:val="0"/>
                      <w:bCs/>
                      <w:color w:val="auto"/>
                      <w:szCs w:val="21"/>
                    </w:rPr>
                    <w:t>，采购人在收到</w:t>
                  </w:r>
                  <w:r>
                    <w:rPr>
                      <w:rFonts w:hint="eastAsia" w:asciiTheme="minorEastAsia" w:hAnsiTheme="minorEastAsia" w:eastAsiaTheme="minorEastAsia"/>
                      <w:b w:val="0"/>
                      <w:bCs/>
                      <w:color w:val="auto"/>
                      <w:szCs w:val="21"/>
                      <w:lang w:eastAsia="zh-CN"/>
                    </w:rPr>
                    <w:t>验收资料和</w:t>
                  </w:r>
                  <w:r>
                    <w:rPr>
                      <w:rFonts w:hint="eastAsia" w:asciiTheme="minorEastAsia" w:hAnsiTheme="minorEastAsia" w:eastAsiaTheme="minorEastAsia"/>
                      <w:b w:val="0"/>
                      <w:bCs/>
                      <w:color w:val="auto"/>
                      <w:szCs w:val="21"/>
                    </w:rPr>
                    <w:t xml:space="preserve">发票后向中标人支付合同总价的 </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u w:val="single"/>
                      <w:lang w:val="en-US" w:eastAsia="zh-CN"/>
                    </w:rPr>
                    <w:t>100</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rPr>
                    <w:t xml:space="preserve">  %。</w:t>
                  </w:r>
                </w:p>
                <w:p w14:paraId="1C8A3DC1">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4.2</w:t>
                  </w:r>
                  <w:r>
                    <w:rPr>
                      <w:rFonts w:hint="eastAsia" w:asciiTheme="minorEastAsia" w:hAnsiTheme="minorEastAsia" w:eastAsiaTheme="minorEastAsia"/>
                      <w:b w:val="0"/>
                      <w:bCs/>
                      <w:color w:val="auto"/>
                      <w:szCs w:val="21"/>
                    </w:rPr>
                    <w:t>每次</w:t>
                  </w:r>
                  <w:r>
                    <w:rPr>
                      <w:rFonts w:hint="eastAsia" w:asciiTheme="minorEastAsia" w:hAnsiTheme="minorEastAsia" w:eastAsiaTheme="minorEastAsia"/>
                      <w:b w:val="0"/>
                      <w:bCs/>
                      <w:color w:val="auto"/>
                      <w:szCs w:val="21"/>
                      <w:lang w:eastAsia="zh-TW"/>
                    </w:rPr>
                    <w:t>按合同支付款项前，</w:t>
                  </w:r>
                  <w:r>
                    <w:rPr>
                      <w:rFonts w:hint="eastAsia" w:asciiTheme="minorEastAsia" w:hAnsiTheme="minorEastAsia" w:eastAsiaTheme="minorEastAsia"/>
                      <w:b w:val="0"/>
                      <w:bCs/>
                      <w:color w:val="auto"/>
                      <w:szCs w:val="21"/>
                    </w:rPr>
                    <w:t>中标人应</w:t>
                  </w:r>
                  <w:r>
                    <w:rPr>
                      <w:rFonts w:hint="eastAsia" w:asciiTheme="minorEastAsia" w:hAnsiTheme="minorEastAsia" w:eastAsiaTheme="minorEastAsia"/>
                      <w:b w:val="0"/>
                      <w:bCs/>
                      <w:color w:val="auto"/>
                      <w:szCs w:val="21"/>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名称一致；</w:t>
                  </w:r>
                </w:p>
                <w:p w14:paraId="2ED517B4">
                  <w:pPr>
                    <w:rPr>
                      <w:rFonts w:asciiTheme="minorEastAsia" w:hAnsiTheme="minorEastAsia" w:eastAsiaTheme="minorEastAsia"/>
                      <w:b/>
                      <w:szCs w:val="21"/>
                    </w:rPr>
                  </w:pPr>
                  <w:r>
                    <w:rPr>
                      <w:rFonts w:hint="eastAsia" w:asciiTheme="minorEastAsia" w:hAnsiTheme="minorEastAsia" w:eastAsiaTheme="minorEastAsia"/>
                      <w:b w:val="0"/>
                      <w:bCs/>
                      <w:color w:val="auto"/>
                      <w:szCs w:val="21"/>
                      <w:lang w:val="en-US" w:eastAsia="zh-CN"/>
                    </w:rPr>
                    <w:t>4.3</w:t>
                  </w:r>
                  <w:r>
                    <w:rPr>
                      <w:rFonts w:hint="eastAsia" w:asciiTheme="minorEastAsia" w:hAnsiTheme="minorEastAsia" w:eastAsiaTheme="minorEastAsia"/>
                      <w:b w:val="0"/>
                      <w:bCs/>
                      <w:color w:val="auto"/>
                      <w:szCs w:val="21"/>
                    </w:rPr>
                    <w:t>违约责任：</w:t>
                  </w:r>
                  <w:r>
                    <w:rPr>
                      <w:rFonts w:hint="eastAsia" w:asciiTheme="minorEastAsia" w:hAnsiTheme="minorEastAsia" w:eastAsiaTheme="minorEastAsia"/>
                      <w:b w:val="0"/>
                      <w:bCs/>
                      <w:color w:val="auto"/>
                      <w:szCs w:val="21"/>
                      <w:lang w:eastAsia="zh-TW"/>
                    </w:rPr>
                    <w:t>采购人逾期</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的，除应当</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外，还应当每日按合同总价的</w:t>
                  </w: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lang w:eastAsia="zh-TW"/>
                    </w:rPr>
                    <w:t>‰向</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偿付违约金，但因</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自身原因导致无法及时</w:t>
                  </w:r>
                  <w:r>
                    <w:rPr>
                      <w:rFonts w:hint="eastAsia" w:asciiTheme="minorEastAsia" w:hAnsiTheme="minorEastAsia" w:eastAsiaTheme="minorEastAsia"/>
                      <w:b w:val="0"/>
                      <w:bCs/>
                      <w:color w:val="auto"/>
                      <w:szCs w:val="21"/>
                    </w:rPr>
                    <w:t>支付</w:t>
                  </w:r>
                  <w:r>
                    <w:rPr>
                      <w:rFonts w:hint="eastAsia" w:asciiTheme="minorEastAsia" w:hAnsiTheme="minorEastAsia" w:eastAsiaTheme="minorEastAsia"/>
                      <w:b w:val="0"/>
                      <w:bCs/>
                      <w:color w:val="auto"/>
                      <w:szCs w:val="21"/>
                      <w:lang w:eastAsia="zh-TW"/>
                    </w:rPr>
                    <w:t>的除外</w:t>
                  </w:r>
                  <w:r>
                    <w:rPr>
                      <w:rFonts w:hint="eastAsia" w:asciiTheme="minorEastAsia" w:hAnsiTheme="minorEastAsia" w:eastAsiaTheme="minorEastAsia"/>
                      <w:b w:val="0"/>
                      <w:bCs/>
                      <w:color w:val="auto"/>
                      <w:szCs w:val="21"/>
                    </w:rPr>
                    <w:t>。</w:t>
                  </w:r>
                </w:p>
              </w:tc>
            </w:tr>
            <w:tr w14:paraId="5ADB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825E334">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2E74FB8E">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1B4517DF">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378A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3601E5A6">
                  <w:pPr>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6</w:t>
                  </w:r>
                </w:p>
              </w:tc>
              <w:tc>
                <w:tcPr>
                  <w:tcW w:w="917" w:type="pct"/>
                  <w:vAlign w:val="center"/>
                </w:tcPr>
                <w:p w14:paraId="43656C2A">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rPr>
                  </w:pPr>
                  <w:r>
                    <w:rPr>
                      <w:rFonts w:hint="eastAsia" w:asciiTheme="minorEastAsia" w:hAnsiTheme="minorEastAsia" w:eastAsiaTheme="minorEastAsia" w:cstheme="minorEastAsia"/>
                      <w:b/>
                      <w:bCs/>
                      <w:color w:val="auto"/>
                      <w:sz w:val="21"/>
                      <w:szCs w:val="21"/>
                    </w:rPr>
                    <w:t>知识产权合规承诺</w:t>
                  </w:r>
                </w:p>
              </w:tc>
              <w:tc>
                <w:tcPr>
                  <w:tcW w:w="3377" w:type="pct"/>
                </w:tcPr>
                <w:p w14:paraId="4BE6BE41">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73322FF9">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应赔偿因采购人被第三方索赔所引起的一切损失，包括但不限于采购人所支付的侵权损害赔偿费、律师费、诉讼费、仲裁费、办案差旅费等因应诉、沟通协调所发的一切费用。</w:t>
                  </w:r>
                </w:p>
                <w:p w14:paraId="7C9FE538">
                  <w:pPr>
                    <w:numPr>
                      <w:ilvl w:val="0"/>
                      <w:numId w:val="0"/>
                    </w:numPr>
                    <w:tabs>
                      <w:tab w:val="left" w:pos="540"/>
                    </w:tabs>
                    <w:adjustRightInd w:val="0"/>
                    <w:snapToGrid w:val="0"/>
                    <w:spacing w:line="360" w:lineRule="auto"/>
                    <w:ind w:leftChars="0"/>
                    <w:rPr>
                      <w:rFonts w:asciiTheme="minorEastAsia" w:hAnsiTheme="minorEastAsia" w:eastAsiaTheme="minorEastAsia"/>
                      <w:b/>
                      <w:szCs w:val="21"/>
                    </w:rPr>
                  </w:pPr>
                  <w:r>
                    <w:rPr>
                      <w:rFonts w:hint="eastAsia" w:ascii="宋体" w:hAnsi="宋体" w:cs="宋体"/>
                      <w:bCs/>
                      <w:color w:val="auto"/>
                      <w:kern w:val="0"/>
                      <w:sz w:val="21"/>
                      <w:szCs w:val="21"/>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不得随意使用。</w:t>
                  </w:r>
                </w:p>
              </w:tc>
            </w:tr>
            <w:tr w14:paraId="20E9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6D38709B">
                  <w:pPr>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917" w:type="pct"/>
                  <w:vAlign w:val="center"/>
                </w:tcPr>
                <w:p w14:paraId="1EA4A50D">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7D14A926">
                  <w:pPr>
                    <w:numPr>
                      <w:ilvl w:val="0"/>
                      <w:numId w:val="1"/>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0C15B327">
                  <w:pPr>
                    <w:numPr>
                      <w:ilvl w:val="0"/>
                      <w:numId w:val="2"/>
                    </w:numPr>
                    <w:tabs>
                      <w:tab w:val="clear" w:pos="840"/>
                    </w:tabs>
                    <w:adjustRightInd w:val="0"/>
                    <w:snapToGrid w:val="0"/>
                    <w:spacing w:line="360" w:lineRule="auto"/>
                    <w:rPr>
                      <w:rFonts w:hint="eastAsia" w:ascii="宋体" w:hAnsi="宋体"/>
                      <w:szCs w:val="21"/>
                      <w:highlight w:val="none"/>
                    </w:rPr>
                  </w:pPr>
                  <w:r>
                    <w:rPr>
                      <w:rFonts w:hint="eastAsia" w:ascii="宋体" w:hAnsi="宋体"/>
                      <w:szCs w:val="21"/>
                      <w:highlight w:val="none"/>
                    </w:rPr>
                    <w:t>时间：</w:t>
                  </w:r>
                  <w:r>
                    <w:rPr>
                      <w:rFonts w:hint="eastAsia" w:ascii="宋体" w:hAnsi="宋体"/>
                      <w:szCs w:val="21"/>
                      <w:highlight w:val="none"/>
                      <w:lang w:eastAsia="zh-CN"/>
                    </w:rPr>
                    <w:t>收到中标通知书后</w:t>
                  </w:r>
                  <w:r>
                    <w:rPr>
                      <w:rFonts w:hint="eastAsia" w:ascii="宋体" w:hAnsi="宋体"/>
                      <w:szCs w:val="21"/>
                      <w:highlight w:val="none"/>
                    </w:rPr>
                    <w:t>；</w:t>
                  </w:r>
                </w:p>
                <w:p w14:paraId="545A2904">
                  <w:pPr>
                    <w:numPr>
                      <w:ilvl w:val="0"/>
                      <w:numId w:val="2"/>
                    </w:numPr>
                    <w:tabs>
                      <w:tab w:val="clear" w:pos="840"/>
                    </w:tabs>
                    <w:adjustRightInd w:val="0"/>
                    <w:snapToGrid w:val="0"/>
                    <w:spacing w:line="360" w:lineRule="auto"/>
                    <w:rPr>
                      <w:rFonts w:hint="eastAsia" w:ascii="宋体" w:hAnsi="宋体"/>
                      <w:szCs w:val="21"/>
                      <w:highlight w:val="none"/>
                    </w:rPr>
                  </w:pPr>
                  <w:r>
                    <w:rPr>
                      <w:rFonts w:hint="eastAsia" w:ascii="宋体" w:hAnsi="宋体"/>
                      <w:szCs w:val="21"/>
                      <w:highlight w:val="none"/>
                    </w:rPr>
                    <w:t>金额：合同（成交）金额的</w:t>
                  </w:r>
                  <w:r>
                    <w:rPr>
                      <w:rFonts w:hint="eastAsia" w:ascii="宋体" w:hAnsi="宋体"/>
                      <w:szCs w:val="21"/>
                      <w:highlight w:val="none"/>
                      <w:u w:val="single"/>
                      <w:lang w:val="en-US" w:eastAsia="zh-CN"/>
                    </w:rPr>
                    <w:t xml:space="preserve">   5   </w:t>
                  </w:r>
                  <w:r>
                    <w:rPr>
                      <w:rFonts w:hint="eastAsia" w:ascii="宋体" w:hAnsi="宋体"/>
                      <w:szCs w:val="21"/>
                      <w:highlight w:val="none"/>
                    </w:rPr>
                    <w:t>%；</w:t>
                  </w:r>
                </w:p>
                <w:p w14:paraId="3623BDCB">
                  <w:pPr>
                    <w:numPr>
                      <w:ilvl w:val="0"/>
                      <w:numId w:val="2"/>
                    </w:numPr>
                    <w:tabs>
                      <w:tab w:val="clear" w:pos="840"/>
                    </w:tabs>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方式：中标人自主选择；</w:t>
                  </w:r>
                </w:p>
                <w:p w14:paraId="0E8B0ADB">
                  <w:pPr>
                    <w:numPr>
                      <w:ilvl w:val="0"/>
                      <w:numId w:val="1"/>
                    </w:numPr>
                    <w:adjustRightInd w:val="0"/>
                    <w:snapToGrid w:val="0"/>
                    <w:spacing w:line="360" w:lineRule="auto"/>
                    <w:rPr>
                      <w:rFonts w:hint="eastAsia" w:ascii="宋体" w:hAnsi="宋体"/>
                      <w:szCs w:val="21"/>
                    </w:rPr>
                  </w:pPr>
                  <w:r>
                    <w:rPr>
                      <w:rFonts w:hint="eastAsia" w:ascii="宋体" w:hAnsi="宋体"/>
                      <w:szCs w:val="21"/>
                    </w:rPr>
                    <w:t>退还说明：</w:t>
                  </w:r>
                </w:p>
                <w:p w14:paraId="2E8CD42A">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lang w:eastAsia="zh-CN"/>
                    </w:rPr>
                    <w:t>供货完成调试、验收、培训且提供了厂家（或厂家授权）的售后服务承诺书后</w:t>
                  </w:r>
                  <w:r>
                    <w:rPr>
                      <w:rFonts w:hint="eastAsia"/>
                      <w:color w:val="auto"/>
                      <w:szCs w:val="21"/>
                    </w:rPr>
                    <w:t>向甲方申请退回该履约保证金，甲方收到申请审核同意后，无息返还乙方的履约保证金。因乙方原因而未能达到本项目验收标准或验收不通过的，履约保证金不予退还。</w:t>
                  </w:r>
                </w:p>
                <w:p w14:paraId="70FA50EE">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违约责任：采购人逾期退还履约保证金的，除应当退还履约保证金本金外，还应当每日按合同总价的</w:t>
                  </w:r>
                  <w:r>
                    <w:rPr>
                      <w:rFonts w:hint="eastAsia" w:ascii="宋体" w:hAnsi="宋体"/>
                      <w:szCs w:val="21"/>
                      <w:lang w:val="en-US" w:eastAsia="zh-CN"/>
                    </w:rPr>
                    <w:t>1</w:t>
                  </w:r>
                  <w:r>
                    <w:rPr>
                      <w:rFonts w:hint="eastAsia" w:ascii="宋体" w:hAnsi="宋体"/>
                      <w:szCs w:val="21"/>
                    </w:rPr>
                    <w:t>‰向中标人偿付违约金，但因</w:t>
                  </w:r>
                  <w:r>
                    <w:rPr>
                      <w:rFonts w:hint="eastAsia" w:ascii="宋体" w:hAnsi="宋体" w:cs="宋体"/>
                      <w:bCs/>
                      <w:color w:val="000000"/>
                      <w:szCs w:val="21"/>
                      <w:highlight w:val="none"/>
                    </w:rPr>
                    <w:t>投标人</w:t>
                  </w:r>
                  <w:r>
                    <w:rPr>
                      <w:rFonts w:hint="eastAsia" w:ascii="宋体" w:hAnsi="宋体"/>
                      <w:szCs w:val="21"/>
                    </w:rPr>
                    <w:t>自身原因导致无法及时退还的除外。</w:t>
                  </w:r>
                </w:p>
                <w:p w14:paraId="1C412154">
                  <w:pPr>
                    <w:numPr>
                      <w:ilvl w:val="0"/>
                      <w:numId w:val="3"/>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color w:val="auto"/>
                      <w:szCs w:val="21"/>
                    </w:rPr>
                    <w:t>中标人违反合同及其附件约定的任何义务，采购人有权在履约保证金中直接扣除</w:t>
                  </w:r>
                  <w:r>
                    <w:rPr>
                      <w:rFonts w:hint="eastAsia" w:ascii="宋体" w:hAnsi="宋体" w:cs="宋体"/>
                      <w:bCs/>
                      <w:color w:val="auto"/>
                      <w:szCs w:val="21"/>
                      <w:highlight w:val="none"/>
                    </w:rPr>
                    <w:t>投标人</w:t>
                  </w:r>
                  <w:r>
                    <w:rPr>
                      <w:rFonts w:hint="eastAsia" w:ascii="宋体" w:hAnsi="宋体"/>
                      <w:color w:val="auto"/>
                      <w:szCs w:val="21"/>
                    </w:rPr>
                    <w:t>应向采购人支付的违约金或损失赔偿额，如有不足的，中标人应</w:t>
                  </w:r>
                  <w:r>
                    <w:rPr>
                      <w:rFonts w:hint="eastAsia" w:ascii="宋体" w:hAnsi="宋体"/>
                      <w:szCs w:val="21"/>
                    </w:rPr>
                    <w:t>对超过的部分予以赔偿。</w:t>
                  </w:r>
                </w:p>
              </w:tc>
            </w:tr>
            <w:tr w14:paraId="7864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174B3FAF">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Cs w:val="21"/>
                      <w:lang w:val="en-US" w:eastAsia="zh-CN"/>
                    </w:rPr>
                    <w:t>8</w:t>
                  </w:r>
                </w:p>
              </w:tc>
              <w:tc>
                <w:tcPr>
                  <w:tcW w:w="917" w:type="pct"/>
                  <w:vAlign w:val="top"/>
                </w:tcPr>
                <w:p w14:paraId="3C093A2E">
                  <w:pPr>
                    <w:rPr>
                      <w:rFonts w:cs="Times New Roman" w:asciiTheme="minorEastAsia" w:hAnsiTheme="minorEastAsia" w:eastAsiaTheme="minorEastAsia"/>
                      <w:b/>
                      <w:kern w:val="2"/>
                      <w:sz w:val="21"/>
                      <w:szCs w:val="21"/>
                      <w:lang w:val="en-US" w:eastAsia="zh-CN" w:bidi="ar-SA"/>
                    </w:rPr>
                  </w:pPr>
                </w:p>
              </w:tc>
              <w:tc>
                <w:tcPr>
                  <w:tcW w:w="3377" w:type="pct"/>
                  <w:vAlign w:val="center"/>
                </w:tcPr>
                <w:p w14:paraId="1F081F0E">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62EB63DC">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67E70BB3">
      <w:pPr>
        <w:pStyle w:val="12"/>
        <w:rPr>
          <w:rFonts w:hint="eastAsia"/>
        </w:rPr>
      </w:pPr>
    </w:p>
    <w:p w14:paraId="1A577BE5">
      <w:pPr>
        <w:rPr>
          <w:rFonts w:hint="eastAsia" w:ascii="宋体" w:hAnsi="宋体"/>
          <w:b/>
          <w:color w:val="FF0000"/>
          <w:sz w:val="32"/>
          <w:szCs w:val="32"/>
        </w:rPr>
      </w:pPr>
      <w:r>
        <w:rPr>
          <w:rFonts w:hint="eastAsia" w:ascii="宋体" w:hAnsi="宋体"/>
          <w:b/>
          <w:color w:val="FF0000"/>
          <w:sz w:val="32"/>
          <w:szCs w:val="32"/>
        </w:rPr>
        <w:br w:type="page"/>
      </w:r>
    </w:p>
    <w:p w14:paraId="7B55CEBC">
      <w:pPr>
        <w:tabs>
          <w:tab w:val="left" w:pos="2815"/>
        </w:tabs>
        <w:jc w:val="left"/>
        <w:rPr>
          <w:rFonts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1D13D9CE">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6D916EEB">
            <w:pPr>
              <w:rPr>
                <w:b/>
                <w:bCs/>
                <w:color w:val="FF0000"/>
              </w:rPr>
            </w:pPr>
            <w:r>
              <w:rPr>
                <w:rFonts w:hint="eastAsia"/>
                <w:b/>
                <w:bCs/>
                <w:color w:val="FF0000"/>
              </w:rPr>
              <w:t xml:space="preserve">    </w:t>
            </w:r>
          </w:p>
          <w:p w14:paraId="12E9D06A">
            <w:pPr>
              <w:ind w:firstLine="422" w:firstLineChars="200"/>
              <w:rPr>
                <w:b/>
                <w:bCs/>
                <w:color w:val="FF0000"/>
              </w:rPr>
            </w:pPr>
            <w:r>
              <w:rPr>
                <w:rFonts w:hint="eastAsia"/>
                <w:b/>
                <w:bCs/>
                <w:color w:val="FF0000"/>
              </w:rPr>
              <w:t>一、</w:t>
            </w:r>
            <w:r>
              <w:rPr>
                <w:b/>
                <w:bCs/>
                <w:color w:val="FF0000"/>
              </w:rPr>
              <w:t>评标方法：综合评分法（新价格分算法）</w:t>
            </w:r>
          </w:p>
        </w:tc>
      </w:tr>
      <w:tr w14:paraId="30F686B3">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0A34F359">
            <w:pPr>
              <w:ind w:firstLine="411" w:firstLineChars="196"/>
              <w:rPr>
                <w:rFonts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4A42FAC4">
            <w:r>
              <w:rPr>
                <w:rFonts w:hint="eastAsia"/>
              </w:rPr>
              <w:t xml:space="preserve">    </w:t>
            </w:r>
            <w:r>
              <w:t>价格分计算方法：</w:t>
            </w:r>
          </w:p>
          <w:p w14:paraId="67E9DA6D">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7A30095A">
      <w:pPr>
        <w:rPr>
          <w:b/>
          <w:bCs/>
          <w:color w:val="FF0000"/>
        </w:rPr>
      </w:pPr>
    </w:p>
    <w:p w14:paraId="7E9DC180">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520B4A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noWrap w:val="0"/>
            <w:vAlign w:val="center"/>
          </w:tcPr>
          <w:p w14:paraId="34D3A2C4">
            <w:pPr>
              <w:ind w:left="-78" w:leftChars="-37" w:right="-73" w:rightChars="-35"/>
              <w:jc w:val="center"/>
              <w:rPr>
                <w:rFonts w:ascii="宋体" w:hAnsi="宋体" w:cs="宋体"/>
                <w:b/>
                <w:szCs w:val="21"/>
              </w:rPr>
            </w:pPr>
            <w:r>
              <w:rPr>
                <w:rFonts w:hint="eastAsia" w:ascii="宋体" w:hAnsi="宋体" w:cs="宋体"/>
                <w:b/>
                <w:szCs w:val="21"/>
              </w:rPr>
              <w:t>评审部分</w:t>
            </w:r>
          </w:p>
        </w:tc>
        <w:tc>
          <w:tcPr>
            <w:tcW w:w="1202" w:type="dxa"/>
            <w:noWrap w:val="0"/>
            <w:vAlign w:val="center"/>
          </w:tcPr>
          <w:p w14:paraId="21954077">
            <w:pPr>
              <w:ind w:left="-78" w:leftChars="-37" w:right="-73" w:rightChars="-35"/>
              <w:jc w:val="center"/>
              <w:rPr>
                <w:rFonts w:ascii="宋体" w:hAnsi="宋体" w:cs="宋体"/>
                <w:b/>
                <w:szCs w:val="21"/>
              </w:rPr>
            </w:pPr>
            <w:r>
              <w:rPr>
                <w:rFonts w:hint="eastAsia" w:ascii="宋体" w:hAnsi="宋体" w:cs="宋体"/>
                <w:b/>
                <w:szCs w:val="21"/>
              </w:rPr>
              <w:t>评审因素</w:t>
            </w:r>
          </w:p>
        </w:tc>
        <w:tc>
          <w:tcPr>
            <w:tcW w:w="6345" w:type="dxa"/>
            <w:noWrap w:val="0"/>
            <w:vAlign w:val="center"/>
          </w:tcPr>
          <w:p w14:paraId="443681CE">
            <w:pPr>
              <w:ind w:left="-78" w:leftChars="-37" w:right="-73" w:rightChars="-35"/>
              <w:jc w:val="center"/>
              <w:rPr>
                <w:rFonts w:ascii="宋体" w:hAnsi="宋体" w:cs="宋体"/>
                <w:b/>
                <w:szCs w:val="21"/>
              </w:rPr>
            </w:pPr>
            <w:r>
              <w:rPr>
                <w:rFonts w:hint="eastAsia" w:ascii="宋体" w:hAnsi="宋体" w:cs="宋体"/>
                <w:b/>
                <w:szCs w:val="21"/>
              </w:rPr>
              <w:t>评分细则</w:t>
            </w:r>
          </w:p>
        </w:tc>
        <w:tc>
          <w:tcPr>
            <w:tcW w:w="920" w:type="dxa"/>
            <w:noWrap w:val="0"/>
            <w:vAlign w:val="center"/>
          </w:tcPr>
          <w:p w14:paraId="1197A4F2">
            <w:pPr>
              <w:ind w:left="-78" w:leftChars="-37" w:right="-73" w:rightChars="-35"/>
              <w:jc w:val="center"/>
              <w:rPr>
                <w:rFonts w:ascii="宋体" w:hAnsi="宋体" w:cs="宋体"/>
                <w:b/>
                <w:szCs w:val="21"/>
              </w:rPr>
            </w:pPr>
            <w:r>
              <w:rPr>
                <w:rFonts w:hint="eastAsia" w:ascii="宋体" w:hAnsi="宋体" w:cs="宋体"/>
                <w:b/>
                <w:szCs w:val="21"/>
              </w:rPr>
              <w:t>分值（分）</w:t>
            </w:r>
          </w:p>
        </w:tc>
      </w:tr>
      <w:tr w14:paraId="005343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noWrap w:val="0"/>
            <w:vAlign w:val="center"/>
          </w:tcPr>
          <w:p w14:paraId="7516218F">
            <w:pPr>
              <w:ind w:left="-78" w:leftChars="-37" w:right="-73" w:rightChars="-35"/>
              <w:jc w:val="center"/>
              <w:rPr>
                <w:rFonts w:ascii="宋体" w:hAnsi="宋体" w:cs="宋体"/>
                <w:b/>
                <w:szCs w:val="21"/>
              </w:rPr>
            </w:pPr>
            <w:r>
              <w:rPr>
                <w:rFonts w:hint="eastAsia" w:ascii="宋体" w:hAnsi="宋体" w:cs="宋体"/>
                <w:b/>
                <w:szCs w:val="21"/>
              </w:rPr>
              <w:t>一</w:t>
            </w:r>
          </w:p>
        </w:tc>
        <w:tc>
          <w:tcPr>
            <w:tcW w:w="8467" w:type="dxa"/>
            <w:gridSpan w:val="3"/>
            <w:noWrap w:val="0"/>
            <w:vAlign w:val="center"/>
          </w:tcPr>
          <w:p w14:paraId="19C68D15">
            <w:pPr>
              <w:ind w:left="-78" w:leftChars="-37" w:right="-73" w:rightChars="-35"/>
              <w:jc w:val="center"/>
              <w:rPr>
                <w:rFonts w:ascii="宋体" w:hAnsi="宋体" w:cs="宋体"/>
                <w:b/>
                <w:szCs w:val="21"/>
              </w:rPr>
            </w:pPr>
            <w:r>
              <w:rPr>
                <w:rFonts w:hint="eastAsia" w:ascii="宋体" w:hAnsi="宋体" w:cs="宋体"/>
                <w:b/>
                <w:szCs w:val="21"/>
              </w:rPr>
              <w:t>技术部分（55分）</w:t>
            </w:r>
          </w:p>
        </w:tc>
      </w:tr>
      <w:tr w14:paraId="7D4924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314EC74A">
            <w:pPr>
              <w:pStyle w:val="29"/>
              <w:numPr>
                <w:ilvl w:val="0"/>
                <w:numId w:val="4"/>
              </w:numPr>
              <w:ind w:firstLineChars="0"/>
              <w:jc w:val="right"/>
              <w:rPr>
                <w:rFonts w:ascii="宋体" w:hAnsi="宋体" w:cs="宋体"/>
                <w:szCs w:val="21"/>
              </w:rPr>
            </w:pPr>
          </w:p>
        </w:tc>
        <w:tc>
          <w:tcPr>
            <w:tcW w:w="1202" w:type="dxa"/>
            <w:noWrap w:val="0"/>
            <w:vAlign w:val="center"/>
          </w:tcPr>
          <w:p w14:paraId="2382A17C">
            <w:pPr>
              <w:adjustRightInd w:val="0"/>
              <w:snapToGrid w:val="0"/>
              <w:spacing w:line="240" w:lineRule="atLeast"/>
              <w:jc w:val="center"/>
              <w:rPr>
                <w:rFonts w:ascii="宋体" w:hAnsi="宋体" w:cs="宋体"/>
                <w:szCs w:val="21"/>
              </w:rPr>
            </w:pPr>
            <w:r>
              <w:rPr>
                <w:rFonts w:hint="eastAsia" w:ascii="宋体" w:hAnsi="宋体" w:cs="宋体"/>
                <w:szCs w:val="21"/>
              </w:rPr>
              <w:t>技术规格偏离情况</w:t>
            </w:r>
          </w:p>
        </w:tc>
        <w:tc>
          <w:tcPr>
            <w:tcW w:w="6345" w:type="dxa"/>
            <w:noWrap w:val="0"/>
            <w:vAlign w:val="center"/>
          </w:tcPr>
          <w:p w14:paraId="5BAC89D2">
            <w:pPr>
              <w:pStyle w:val="29"/>
              <w:spacing w:line="360" w:lineRule="exact"/>
              <w:ind w:firstLine="0" w:firstLineChars="0"/>
              <w:rPr>
                <w:rFonts w:ascii="宋体" w:hAnsi="宋体" w:cs="宋体"/>
                <w:szCs w:val="21"/>
              </w:rPr>
            </w:pPr>
            <w:r>
              <w:rPr>
                <w:rFonts w:hint="eastAsia" w:ascii="宋体" w:hAnsi="宋体"/>
                <w:szCs w:val="21"/>
              </w:rPr>
              <w:t>一、评分内容：</w:t>
            </w:r>
          </w:p>
          <w:p w14:paraId="49CC82AA">
            <w:pPr>
              <w:rPr>
                <w:rFonts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503034C0">
            <w:pPr>
              <w:rPr>
                <w:rFonts w:ascii="宋体" w:hAnsi="宋体" w:cs="宋体"/>
                <w:color w:val="auto"/>
                <w:szCs w:val="21"/>
              </w:rPr>
            </w:pPr>
            <w:r>
              <w:rPr>
                <w:rFonts w:hint="eastAsia" w:ascii="宋体" w:hAnsi="宋体" w:cs="宋体"/>
                <w:color w:val="auto"/>
                <w:szCs w:val="21"/>
              </w:rPr>
              <w:t>带▲参数为重点参数共</w:t>
            </w:r>
            <w:r>
              <w:rPr>
                <w:rFonts w:hint="eastAsia" w:ascii="宋体" w:hAnsi="宋体" w:cs="宋体"/>
                <w:color w:val="auto"/>
                <w:szCs w:val="21"/>
                <w:highlight w:val="yellow"/>
              </w:rPr>
              <w:t>{}</w:t>
            </w:r>
            <w:r>
              <w:rPr>
                <w:rFonts w:hint="eastAsia" w:ascii="宋体" w:hAnsi="宋体" w:cs="宋体"/>
                <w:color w:val="auto"/>
                <w:szCs w:val="21"/>
              </w:rPr>
              <w:t>分，每负偏离一项扣</w:t>
            </w:r>
            <w:r>
              <w:rPr>
                <w:rFonts w:hint="eastAsia" w:ascii="宋体" w:hAnsi="宋体" w:cs="宋体"/>
                <w:color w:val="auto"/>
                <w:szCs w:val="21"/>
                <w:highlight w:val="yellow"/>
              </w:rPr>
              <w:t>{}</w:t>
            </w:r>
            <w:r>
              <w:rPr>
                <w:rFonts w:hint="eastAsia" w:ascii="宋体" w:hAnsi="宋体" w:cs="宋体"/>
                <w:color w:val="auto"/>
                <w:szCs w:val="21"/>
              </w:rPr>
              <w:t>分</w:t>
            </w:r>
          </w:p>
          <w:p w14:paraId="16DEA2E1">
            <w:pPr>
              <w:rPr>
                <w:rFonts w:ascii="宋体" w:hAnsi="宋体" w:cs="宋体"/>
                <w:color w:val="auto"/>
                <w:szCs w:val="21"/>
              </w:rPr>
            </w:pPr>
            <w:r>
              <w:rPr>
                <w:rFonts w:hint="eastAsia" w:ascii="宋体" w:hAnsi="宋体" w:cs="宋体"/>
                <w:color w:val="auto"/>
                <w:szCs w:val="21"/>
              </w:rPr>
              <w:t>其他一般参数共</w:t>
            </w:r>
            <w:r>
              <w:rPr>
                <w:rFonts w:hint="eastAsia" w:ascii="宋体" w:hAnsi="宋体" w:cs="宋体"/>
                <w:color w:val="auto"/>
                <w:szCs w:val="21"/>
                <w:highlight w:val="yellow"/>
              </w:rPr>
              <w:t>{}</w:t>
            </w:r>
            <w:r>
              <w:rPr>
                <w:rFonts w:hint="eastAsia" w:ascii="宋体" w:hAnsi="宋体" w:cs="宋体"/>
                <w:color w:val="auto"/>
                <w:szCs w:val="21"/>
              </w:rPr>
              <w:t>分，每偏离一项扣</w:t>
            </w:r>
            <w:r>
              <w:rPr>
                <w:rFonts w:hint="eastAsia" w:ascii="宋体" w:hAnsi="宋体" w:cs="宋体"/>
                <w:color w:val="auto"/>
                <w:szCs w:val="21"/>
                <w:highlight w:val="yellow"/>
              </w:rPr>
              <w:t>{}</w:t>
            </w:r>
            <w:r>
              <w:rPr>
                <w:rFonts w:hint="eastAsia" w:ascii="宋体" w:hAnsi="宋体" w:cs="宋体"/>
                <w:color w:val="auto"/>
                <w:szCs w:val="21"/>
              </w:rPr>
              <w:t>分</w:t>
            </w:r>
          </w:p>
          <w:p w14:paraId="727448EF">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3DBC3C8F">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noWrap w:val="0"/>
            <w:vAlign w:val="center"/>
          </w:tcPr>
          <w:p w14:paraId="417B3C56">
            <w:pPr>
              <w:ind w:left="-78" w:leftChars="-37" w:right="-73" w:rightChars="-35"/>
              <w:jc w:val="center"/>
              <w:rPr>
                <w:rFonts w:hint="eastAsia" w:ascii="宋体" w:hAnsi="宋体" w:eastAsia="宋体" w:cs="宋体"/>
                <w:szCs w:val="21"/>
                <w:lang w:eastAsia="zh-CN"/>
              </w:rPr>
            </w:pPr>
            <w:r>
              <w:rPr>
                <w:rFonts w:hint="eastAsia" w:ascii="宋体" w:hAnsi="宋体" w:cs="宋体"/>
                <w:szCs w:val="21"/>
                <w:highlight w:val="yellow"/>
              </w:rPr>
              <w:t>5</w:t>
            </w:r>
            <w:r>
              <w:rPr>
                <w:rFonts w:hint="eastAsia" w:ascii="宋体" w:hAnsi="宋体" w:cs="宋体"/>
                <w:szCs w:val="21"/>
                <w:highlight w:val="yellow"/>
                <w:lang w:val="en-US" w:eastAsia="zh-CN"/>
              </w:rPr>
              <w:t>1</w:t>
            </w:r>
          </w:p>
        </w:tc>
      </w:tr>
      <w:tr w14:paraId="59E323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noWrap w:val="0"/>
            <w:vAlign w:val="center"/>
          </w:tcPr>
          <w:p w14:paraId="6FD82DB9">
            <w:pPr>
              <w:pStyle w:val="29"/>
              <w:numPr>
                <w:ilvl w:val="0"/>
                <w:numId w:val="4"/>
              </w:numPr>
              <w:ind w:firstLineChars="0"/>
              <w:jc w:val="right"/>
              <w:rPr>
                <w:rFonts w:ascii="宋体" w:hAnsi="宋体" w:cs="宋体"/>
                <w:szCs w:val="21"/>
              </w:rPr>
            </w:pPr>
          </w:p>
        </w:tc>
        <w:tc>
          <w:tcPr>
            <w:tcW w:w="1202" w:type="dxa"/>
            <w:noWrap w:val="0"/>
            <w:vAlign w:val="center"/>
          </w:tcPr>
          <w:p w14:paraId="53E5F718">
            <w:pPr>
              <w:adjustRightInd w:val="0"/>
              <w:snapToGrid w:val="0"/>
              <w:spacing w:line="240" w:lineRule="atLeast"/>
              <w:jc w:val="center"/>
              <w:rPr>
                <w:rFonts w:ascii="宋体" w:hAnsi="宋体" w:cs="宋体"/>
                <w:kern w:val="0"/>
                <w:szCs w:val="21"/>
              </w:rPr>
            </w:pPr>
            <w:r>
              <w:rPr>
                <w:rFonts w:hint="eastAsia" w:ascii="宋体" w:hAnsi="宋体" w:cs="宋体"/>
                <w:szCs w:val="21"/>
              </w:rPr>
              <w:t>售后服务方案</w:t>
            </w:r>
          </w:p>
        </w:tc>
        <w:tc>
          <w:tcPr>
            <w:tcW w:w="6345" w:type="dxa"/>
            <w:noWrap w:val="0"/>
            <w:vAlign w:val="center"/>
          </w:tcPr>
          <w:p w14:paraId="252AE7DD">
            <w:pPr>
              <w:pStyle w:val="5"/>
              <w:ind w:firstLine="0"/>
              <w:rPr>
                <w:rFonts w:ascii="宋体" w:hAnsi="宋体" w:cs="宋体"/>
              </w:rPr>
            </w:pPr>
            <w:r>
              <w:rPr>
                <w:rFonts w:hint="eastAsia" w:ascii="宋体" w:hAnsi="宋体" w:cs="宋体"/>
                <w:sz w:val="21"/>
                <w:szCs w:val="21"/>
              </w:rPr>
              <w:t>投标人需提供售后服务方案，包括但不限于：</w:t>
            </w:r>
          </w:p>
          <w:p w14:paraId="11B3F3B1">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12E68D7F">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783B29FF">
            <w:pPr>
              <w:pStyle w:val="5"/>
              <w:ind w:firstLine="0"/>
              <w:rPr>
                <w:rFonts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52A266CD">
            <w:pPr>
              <w:pStyle w:val="5"/>
              <w:ind w:firstLine="0"/>
              <w:rPr>
                <w:rFonts w:ascii="宋体" w:hAnsi="宋体" w:cs="宋体"/>
              </w:rPr>
            </w:pPr>
            <w:r>
              <w:rPr>
                <w:rFonts w:hint="eastAsia" w:ascii="宋体" w:hAnsi="宋体" w:cs="宋体"/>
                <w:sz w:val="21"/>
                <w:szCs w:val="21"/>
              </w:rPr>
              <w:t>一、投标人提供上述3项内容得3分；</w:t>
            </w:r>
          </w:p>
          <w:p w14:paraId="302362C3">
            <w:pPr>
              <w:pStyle w:val="5"/>
              <w:ind w:firstLine="0"/>
              <w:rPr>
                <w:rFonts w:ascii="宋体" w:hAnsi="宋体" w:cs="宋体"/>
              </w:rPr>
            </w:pPr>
            <w:r>
              <w:rPr>
                <w:rFonts w:hint="eastAsia" w:ascii="宋体" w:hAnsi="宋体" w:cs="宋体"/>
                <w:sz w:val="21"/>
                <w:szCs w:val="21"/>
              </w:rPr>
              <w:t>提供上述任意1-2项内容得1分；不提供不得分。</w:t>
            </w:r>
          </w:p>
          <w:p w14:paraId="1FFE53FB">
            <w:pPr>
              <w:pStyle w:val="5"/>
              <w:ind w:firstLine="0"/>
              <w:rPr>
                <w:rFonts w:ascii="宋体" w:hAnsi="宋体" w:cs="宋体"/>
              </w:rPr>
            </w:pPr>
            <w:r>
              <w:rPr>
                <w:rFonts w:hint="eastAsia" w:ascii="宋体" w:hAnsi="宋体" w:cs="宋体"/>
                <w:sz w:val="21"/>
                <w:szCs w:val="21"/>
              </w:rPr>
              <w:t>二、在此基础上，根据投标人的提供的内容按照量化的评审因素指标进一步评审：</w:t>
            </w:r>
          </w:p>
          <w:p w14:paraId="0787B1D0">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7E957E5A">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00E5CC34">
            <w:pPr>
              <w:pStyle w:val="5"/>
              <w:ind w:firstLine="0"/>
              <w:rPr>
                <w:rFonts w:ascii="宋体" w:hAnsi="宋体" w:cs="宋体"/>
              </w:rPr>
            </w:pPr>
            <w:r>
              <w:rPr>
                <w:rFonts w:hint="eastAsia" w:ascii="宋体" w:hAnsi="宋体" w:cs="宋体"/>
                <w:sz w:val="21"/>
                <w:szCs w:val="21"/>
              </w:rPr>
              <w:t>每体现一点内容加1分，最多加</w:t>
            </w:r>
            <w:r>
              <w:rPr>
                <w:rFonts w:hint="eastAsia" w:ascii="宋体" w:hAnsi="宋体" w:cs="宋体"/>
                <w:sz w:val="21"/>
                <w:szCs w:val="21"/>
                <w:lang w:val="en-US" w:eastAsia="zh-CN"/>
              </w:rPr>
              <w:t>1</w:t>
            </w:r>
            <w:r>
              <w:rPr>
                <w:rFonts w:hint="eastAsia" w:ascii="宋体" w:hAnsi="宋体" w:cs="宋体"/>
                <w:sz w:val="21"/>
                <w:szCs w:val="21"/>
              </w:rPr>
              <w:t>分。</w:t>
            </w:r>
          </w:p>
        </w:tc>
        <w:tc>
          <w:tcPr>
            <w:tcW w:w="920" w:type="dxa"/>
            <w:noWrap w:val="0"/>
            <w:vAlign w:val="center"/>
          </w:tcPr>
          <w:p w14:paraId="5B11BB8F">
            <w:pPr>
              <w:jc w:val="center"/>
              <w:rPr>
                <w:rFonts w:hint="eastAsia" w:ascii="宋体" w:hAnsi="宋体" w:eastAsia="宋体" w:cs="宋体"/>
                <w:kern w:val="0"/>
                <w:szCs w:val="21"/>
                <w:lang w:eastAsia="zh-CN"/>
              </w:rPr>
            </w:pPr>
            <w:r>
              <w:rPr>
                <w:rFonts w:hint="eastAsia" w:ascii="宋体" w:hAnsi="宋体" w:cs="宋体"/>
                <w:kern w:val="0"/>
                <w:szCs w:val="21"/>
                <w:highlight w:val="yellow"/>
                <w:lang w:val="en-US" w:eastAsia="zh-CN"/>
              </w:rPr>
              <w:t>4</w:t>
            </w:r>
          </w:p>
        </w:tc>
      </w:tr>
      <w:tr w14:paraId="39BC48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noWrap w:val="0"/>
            <w:vAlign w:val="center"/>
          </w:tcPr>
          <w:p w14:paraId="1E7A26C7">
            <w:pPr>
              <w:ind w:left="-78" w:leftChars="-37" w:right="-73" w:rightChars="-35"/>
              <w:jc w:val="center"/>
              <w:rPr>
                <w:rFonts w:ascii="宋体" w:hAnsi="宋体" w:cs="宋体"/>
                <w:b/>
                <w:szCs w:val="21"/>
              </w:rPr>
            </w:pPr>
            <w:r>
              <w:rPr>
                <w:rFonts w:hint="eastAsia" w:ascii="宋体" w:hAnsi="宋体" w:cs="宋体"/>
                <w:b/>
                <w:szCs w:val="21"/>
              </w:rPr>
              <w:t>二</w:t>
            </w:r>
          </w:p>
        </w:tc>
        <w:tc>
          <w:tcPr>
            <w:tcW w:w="8467" w:type="dxa"/>
            <w:gridSpan w:val="3"/>
            <w:noWrap w:val="0"/>
            <w:vAlign w:val="center"/>
          </w:tcPr>
          <w:p w14:paraId="484A5D8D">
            <w:pPr>
              <w:ind w:left="-78" w:leftChars="-37" w:right="-73" w:rightChars="-35"/>
              <w:jc w:val="center"/>
              <w:rPr>
                <w:rFonts w:ascii="宋体" w:hAnsi="宋体" w:cs="宋体"/>
                <w:b/>
                <w:szCs w:val="21"/>
              </w:rPr>
            </w:pPr>
            <w:r>
              <w:rPr>
                <w:rFonts w:hint="eastAsia" w:ascii="宋体" w:hAnsi="宋体" w:cs="宋体"/>
                <w:b/>
                <w:szCs w:val="21"/>
              </w:rPr>
              <w:t>商务部分（15分）</w:t>
            </w:r>
          </w:p>
        </w:tc>
      </w:tr>
      <w:tr w14:paraId="49852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06A2ADDF">
            <w:pPr>
              <w:pStyle w:val="29"/>
              <w:numPr>
                <w:ilvl w:val="0"/>
                <w:numId w:val="5"/>
              </w:numPr>
              <w:ind w:firstLineChars="0"/>
              <w:jc w:val="center"/>
              <w:rPr>
                <w:rFonts w:ascii="宋体" w:hAnsi="宋体" w:cs="宋体"/>
                <w:szCs w:val="21"/>
              </w:rPr>
            </w:pPr>
          </w:p>
        </w:tc>
        <w:tc>
          <w:tcPr>
            <w:tcW w:w="1202" w:type="dxa"/>
            <w:noWrap w:val="0"/>
            <w:vAlign w:val="center"/>
          </w:tcPr>
          <w:p w14:paraId="57265C34">
            <w:pPr>
              <w:wordWrap w:val="0"/>
              <w:jc w:val="center"/>
              <w:textAlignment w:val="top"/>
              <w:rPr>
                <w:rFonts w:ascii="宋体" w:hAnsi="宋体" w:cs="宋体"/>
                <w:szCs w:val="21"/>
              </w:rPr>
            </w:pPr>
            <w:r>
              <w:rPr>
                <w:rFonts w:hint="eastAsia" w:ascii="宋体" w:hAnsi="宋体" w:cs="宋体"/>
                <w:szCs w:val="21"/>
              </w:rPr>
              <w:t>商务条款偏离情况</w:t>
            </w:r>
          </w:p>
        </w:tc>
        <w:tc>
          <w:tcPr>
            <w:tcW w:w="6345" w:type="dxa"/>
            <w:noWrap w:val="0"/>
            <w:vAlign w:val="center"/>
          </w:tcPr>
          <w:p w14:paraId="32E596CD">
            <w:pPr>
              <w:autoSpaceDE w:val="0"/>
              <w:autoSpaceDN w:val="0"/>
              <w:adjustRightInd w:val="0"/>
              <w:spacing w:line="360" w:lineRule="exact"/>
              <w:jc w:val="left"/>
              <w:rPr>
                <w:rFonts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484EFE51">
            <w:pPr>
              <w:adjustRightInd w:val="0"/>
              <w:snapToGrid w:val="0"/>
              <w:spacing w:line="240" w:lineRule="atLeast"/>
              <w:rPr>
                <w:rFonts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noWrap w:val="0"/>
            <w:vAlign w:val="center"/>
          </w:tcPr>
          <w:p w14:paraId="4EE94C9F">
            <w:pPr>
              <w:ind w:left="-78" w:leftChars="-37" w:right="-73" w:rightChars="-35"/>
              <w:jc w:val="center"/>
              <w:rPr>
                <w:rFonts w:ascii="宋体" w:hAnsi="宋体" w:cs="宋体"/>
                <w:szCs w:val="21"/>
              </w:rPr>
            </w:pPr>
            <w:r>
              <w:rPr>
                <w:rFonts w:hint="eastAsia" w:ascii="宋体" w:hAnsi="宋体" w:cs="宋体"/>
                <w:szCs w:val="21"/>
              </w:rPr>
              <w:t>12</w:t>
            </w:r>
          </w:p>
        </w:tc>
      </w:tr>
      <w:tr w14:paraId="35404E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360E39BB">
            <w:pPr>
              <w:pStyle w:val="29"/>
              <w:numPr>
                <w:ilvl w:val="0"/>
                <w:numId w:val="5"/>
              </w:numPr>
              <w:ind w:firstLineChars="0"/>
              <w:jc w:val="center"/>
              <w:rPr>
                <w:rFonts w:ascii="宋体" w:hAnsi="宋体" w:cs="宋体"/>
                <w:szCs w:val="21"/>
              </w:rPr>
            </w:pPr>
          </w:p>
        </w:tc>
        <w:tc>
          <w:tcPr>
            <w:tcW w:w="1202" w:type="dxa"/>
            <w:noWrap w:val="0"/>
            <w:vAlign w:val="center"/>
          </w:tcPr>
          <w:p w14:paraId="0A4BC1DB">
            <w:pPr>
              <w:wordWrap w:val="0"/>
              <w:jc w:val="center"/>
              <w:textAlignment w:val="top"/>
              <w:rPr>
                <w:rFonts w:ascii="宋体" w:hAnsi="宋体" w:cs="宋体"/>
                <w:szCs w:val="21"/>
              </w:rPr>
            </w:pPr>
            <w:r>
              <w:rPr>
                <w:rFonts w:hint="eastAsia" w:ascii="宋体" w:hAnsi="宋体" w:cs="宋体"/>
                <w:szCs w:val="21"/>
              </w:rPr>
              <w:t>同类业绩</w:t>
            </w:r>
          </w:p>
        </w:tc>
        <w:tc>
          <w:tcPr>
            <w:tcW w:w="6345" w:type="dxa"/>
            <w:noWrap w:val="0"/>
            <w:vAlign w:val="top"/>
          </w:tcPr>
          <w:p w14:paraId="0E289B05">
            <w:pPr>
              <w:wordWrap w:val="0"/>
              <w:textAlignment w:val="top"/>
              <w:rPr>
                <w:rFonts w:ascii="宋体" w:hAnsi="宋体" w:cs="宋体"/>
                <w:color w:val="F79646"/>
                <w:szCs w:val="21"/>
              </w:rPr>
            </w:pPr>
            <w:r>
              <w:rPr>
                <w:rFonts w:hint="eastAsia" w:ascii="宋体" w:hAnsi="宋体" w:cs="宋体"/>
                <w:color w:val="F79646"/>
                <w:szCs w:val="21"/>
              </w:rPr>
              <w:t>一、评分内容：</w:t>
            </w:r>
          </w:p>
          <w:p w14:paraId="21BAA26C">
            <w:pPr>
              <w:wordWrap w:val="0"/>
              <w:textAlignment w:val="top"/>
              <w:rPr>
                <w:rFonts w:ascii="宋体" w:hAnsi="宋体" w:cs="宋体"/>
                <w:color w:val="F79646"/>
                <w:szCs w:val="21"/>
              </w:rPr>
            </w:pPr>
            <w:r>
              <w:rPr>
                <w:rFonts w:hint="eastAsia" w:ascii="宋体" w:hAnsi="宋体" w:cs="宋体"/>
                <w:color w:val="F79646"/>
                <w:szCs w:val="21"/>
              </w:rPr>
              <w:t>投标人2022年1月1日至投标截止时间前具备同类业绩的（以发票或合同签订时间为准），每提供1项得1分，本项最高得3分，不提供不得分。</w:t>
            </w:r>
          </w:p>
          <w:p w14:paraId="58E3D664">
            <w:pPr>
              <w:wordWrap w:val="0"/>
              <w:textAlignment w:val="top"/>
              <w:rPr>
                <w:rFonts w:ascii="宋体" w:hAnsi="宋体" w:cs="宋体"/>
                <w:color w:val="F79646"/>
                <w:szCs w:val="21"/>
              </w:rPr>
            </w:pPr>
            <w:r>
              <w:rPr>
                <w:rFonts w:hint="eastAsia" w:ascii="宋体" w:hAnsi="宋体" w:cs="宋体"/>
                <w:color w:val="F79646"/>
                <w:szCs w:val="21"/>
              </w:rPr>
              <w:t>二、评分依据：</w:t>
            </w:r>
          </w:p>
          <w:p w14:paraId="15D3633C">
            <w:pPr>
              <w:wordWrap w:val="0"/>
              <w:textAlignment w:val="top"/>
              <w:rPr>
                <w:rFonts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437EABFF">
            <w:pPr>
              <w:pStyle w:val="30"/>
              <w:rPr>
                <w:color w:val="F79646"/>
              </w:rPr>
            </w:pPr>
            <w:r>
              <w:rPr>
                <w:rFonts w:hint="eastAsia" w:ascii="宋体" w:hAnsi="宋体" w:cs="宋体"/>
                <w:bCs w:val="0"/>
                <w:color w:val="F79646"/>
                <w:sz w:val="21"/>
                <w:szCs w:val="21"/>
              </w:rPr>
              <w:t>2.提供发票或中标、成交通知书作为证明文件</w:t>
            </w:r>
          </w:p>
          <w:p w14:paraId="767D1C9E">
            <w:pPr>
              <w:wordWrap w:val="0"/>
              <w:textAlignment w:val="top"/>
              <w:rPr>
                <w:rFonts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06DC4E8F">
            <w:pPr>
              <w:wordWrap w:val="0"/>
              <w:textAlignment w:val="top"/>
              <w:rPr>
                <w:rFonts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noWrap w:val="0"/>
            <w:vAlign w:val="center"/>
          </w:tcPr>
          <w:p w14:paraId="0F470688">
            <w:pPr>
              <w:ind w:left="-78" w:leftChars="-37" w:right="-73" w:rightChars="-35"/>
              <w:jc w:val="center"/>
              <w:rPr>
                <w:rFonts w:ascii="宋体" w:hAnsi="宋体" w:cs="宋体"/>
                <w:szCs w:val="21"/>
              </w:rPr>
            </w:pPr>
            <w:r>
              <w:rPr>
                <w:rFonts w:hint="eastAsia" w:ascii="宋体" w:hAnsi="宋体" w:cs="宋体"/>
                <w:szCs w:val="21"/>
              </w:rPr>
              <w:t>3</w:t>
            </w:r>
          </w:p>
        </w:tc>
      </w:tr>
      <w:tr w14:paraId="7B389A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noWrap w:val="0"/>
            <w:vAlign w:val="center"/>
          </w:tcPr>
          <w:p w14:paraId="2371E566">
            <w:pPr>
              <w:jc w:val="center"/>
              <w:rPr>
                <w:rFonts w:ascii="宋体" w:hAnsi="宋体" w:cs="宋体"/>
                <w:b/>
                <w:szCs w:val="21"/>
              </w:rPr>
            </w:pPr>
            <w:r>
              <w:rPr>
                <w:rFonts w:hint="eastAsia" w:ascii="宋体" w:hAnsi="宋体" w:cs="宋体"/>
                <w:b/>
                <w:szCs w:val="21"/>
              </w:rPr>
              <w:t>三</w:t>
            </w:r>
          </w:p>
        </w:tc>
        <w:tc>
          <w:tcPr>
            <w:tcW w:w="8467" w:type="dxa"/>
            <w:gridSpan w:val="3"/>
            <w:noWrap w:val="0"/>
            <w:vAlign w:val="center"/>
          </w:tcPr>
          <w:p w14:paraId="4574D93E">
            <w:pPr>
              <w:ind w:left="-78" w:leftChars="-37" w:right="-73" w:rightChars="-35"/>
              <w:jc w:val="center"/>
              <w:rPr>
                <w:rFonts w:ascii="宋体" w:hAnsi="宋体" w:cs="宋体"/>
                <w:b/>
                <w:szCs w:val="21"/>
              </w:rPr>
            </w:pPr>
            <w:r>
              <w:rPr>
                <w:rFonts w:hint="eastAsia" w:ascii="宋体" w:hAnsi="宋体" w:cs="宋体"/>
                <w:b/>
                <w:szCs w:val="21"/>
              </w:rPr>
              <w:t>价格部分（30分）</w:t>
            </w:r>
          </w:p>
        </w:tc>
      </w:tr>
      <w:tr w14:paraId="451E87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noWrap w:val="0"/>
            <w:vAlign w:val="center"/>
          </w:tcPr>
          <w:p w14:paraId="7F9D1F6C">
            <w:pPr>
              <w:jc w:val="center"/>
              <w:rPr>
                <w:rFonts w:ascii="宋体" w:hAnsi="宋体" w:cs="宋体"/>
                <w:szCs w:val="21"/>
              </w:rPr>
            </w:pPr>
            <w:r>
              <w:rPr>
                <w:rFonts w:hint="eastAsia" w:ascii="宋体" w:hAnsi="宋体" w:cs="宋体"/>
                <w:szCs w:val="21"/>
              </w:rPr>
              <w:t>1</w:t>
            </w:r>
          </w:p>
        </w:tc>
        <w:tc>
          <w:tcPr>
            <w:tcW w:w="1202" w:type="dxa"/>
            <w:noWrap w:val="0"/>
            <w:vAlign w:val="center"/>
          </w:tcPr>
          <w:p w14:paraId="23652D33">
            <w:pPr>
              <w:jc w:val="center"/>
              <w:rPr>
                <w:rFonts w:ascii="宋体" w:hAnsi="宋体" w:cs="宋体"/>
                <w:szCs w:val="21"/>
              </w:rPr>
            </w:pPr>
            <w:r>
              <w:rPr>
                <w:rFonts w:hint="eastAsia" w:ascii="宋体" w:hAnsi="宋体" w:cs="宋体"/>
                <w:szCs w:val="21"/>
              </w:rPr>
              <w:t>投标报价</w:t>
            </w:r>
          </w:p>
        </w:tc>
        <w:tc>
          <w:tcPr>
            <w:tcW w:w="6345" w:type="dxa"/>
            <w:noWrap w:val="0"/>
            <w:vAlign w:val="center"/>
          </w:tcPr>
          <w:p w14:paraId="2EB22973">
            <w:pPr>
              <w:autoSpaceDE w:val="0"/>
              <w:autoSpaceDN w:val="0"/>
              <w:adjustRightInd w:val="0"/>
              <w:snapToGrid w:val="0"/>
              <w:rPr>
                <w:rFonts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35953F85">
            <w:pPr>
              <w:widowControl/>
              <w:jc w:val="left"/>
              <w:rPr>
                <w:rFonts w:ascii="宋体" w:hAnsi="宋体" w:cs="宋体"/>
                <w:kern w:val="0"/>
                <w:szCs w:val="21"/>
              </w:rPr>
            </w:pPr>
            <w:r>
              <w:rPr>
                <w:rFonts w:hint="eastAsia" w:ascii="宋体" w:hAnsi="宋体" w:cs="宋体"/>
                <w:kern w:val="0"/>
                <w:szCs w:val="21"/>
              </w:rPr>
              <w:t>投标报价得分=(评标基准价／投标报价)×100×权重</w:t>
            </w:r>
          </w:p>
          <w:p w14:paraId="705A1C58">
            <w:pPr>
              <w:widowControl/>
              <w:jc w:val="left"/>
              <w:rPr>
                <w:rFonts w:ascii="宋体" w:hAnsi="宋体" w:cs="宋体"/>
                <w:szCs w:val="21"/>
              </w:rPr>
            </w:pPr>
            <w:r>
              <w:rPr>
                <w:rFonts w:hint="eastAsia" w:ascii="宋体" w:hAnsi="宋体" w:cs="宋体"/>
                <w:szCs w:val="21"/>
              </w:rPr>
              <w:t>备注：</w:t>
            </w:r>
          </w:p>
          <w:p w14:paraId="31443849">
            <w:pPr>
              <w:widowControl/>
              <w:jc w:val="left"/>
              <w:rPr>
                <w:rFonts w:ascii="宋体" w:hAnsi="宋体" w:cs="宋体"/>
                <w:szCs w:val="21"/>
              </w:rPr>
            </w:pPr>
            <w:r>
              <w:rPr>
                <w:rFonts w:hint="eastAsia" w:ascii="宋体" w:hAnsi="宋体" w:cs="宋体"/>
                <w:szCs w:val="21"/>
              </w:rPr>
              <w:t>1、投标报价得分四舍五入后，小数点后保留两位有效数。</w:t>
            </w:r>
          </w:p>
          <w:p w14:paraId="285A23B6">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noWrap w:val="0"/>
            <w:vAlign w:val="center"/>
          </w:tcPr>
          <w:p w14:paraId="5E7B15E2">
            <w:pPr>
              <w:ind w:left="-78" w:leftChars="-37" w:right="-73" w:rightChars="-35"/>
              <w:jc w:val="center"/>
              <w:rPr>
                <w:rFonts w:ascii="宋体" w:hAnsi="宋体" w:cs="宋体"/>
                <w:szCs w:val="21"/>
              </w:rPr>
            </w:pPr>
            <w:r>
              <w:rPr>
                <w:rFonts w:hint="eastAsia" w:ascii="宋体" w:hAnsi="宋体" w:cs="宋体"/>
                <w:szCs w:val="21"/>
              </w:rPr>
              <w:t>30</w:t>
            </w:r>
          </w:p>
        </w:tc>
      </w:tr>
      <w:tr w14:paraId="6E5C03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noWrap w:val="0"/>
            <w:vAlign w:val="center"/>
          </w:tcPr>
          <w:p w14:paraId="7228792C">
            <w:pPr>
              <w:ind w:left="-78" w:leftChars="-37" w:right="-73" w:rightChars="-35"/>
              <w:jc w:val="center"/>
              <w:rPr>
                <w:rFonts w:ascii="宋体" w:hAnsi="宋体" w:cs="宋体"/>
                <w:szCs w:val="21"/>
              </w:rPr>
            </w:pPr>
            <w:r>
              <w:rPr>
                <w:rFonts w:hint="eastAsia" w:ascii="宋体" w:hAnsi="宋体" w:cs="宋体"/>
                <w:szCs w:val="21"/>
              </w:rPr>
              <w:t>合计</w:t>
            </w:r>
          </w:p>
        </w:tc>
        <w:tc>
          <w:tcPr>
            <w:tcW w:w="920" w:type="dxa"/>
            <w:noWrap w:val="0"/>
            <w:vAlign w:val="center"/>
          </w:tcPr>
          <w:p w14:paraId="3652CC75">
            <w:pPr>
              <w:ind w:left="-78" w:leftChars="-37" w:right="-73" w:rightChars="-35"/>
              <w:jc w:val="center"/>
              <w:rPr>
                <w:rFonts w:ascii="宋体" w:hAnsi="宋体" w:cs="宋体"/>
                <w:szCs w:val="21"/>
              </w:rPr>
            </w:pPr>
            <w:r>
              <w:rPr>
                <w:rFonts w:hint="eastAsia" w:ascii="宋体" w:hAnsi="宋体" w:cs="宋体"/>
                <w:szCs w:val="21"/>
              </w:rPr>
              <w:t>100</w:t>
            </w:r>
          </w:p>
        </w:tc>
      </w:tr>
    </w:tbl>
    <w:p w14:paraId="5B3D1DEB">
      <w:pPr>
        <w:pStyle w:val="9"/>
      </w:pPr>
    </w:p>
    <w:p w14:paraId="6640FCBE">
      <w:pPr>
        <w:pStyle w:val="9"/>
      </w:pPr>
    </w:p>
    <w:p w14:paraId="1119ABFF">
      <w:pPr>
        <w:pStyle w:val="9"/>
      </w:pPr>
    </w:p>
    <w:p w14:paraId="4A8F8EF3">
      <w:pPr>
        <w:pStyle w:val="9"/>
      </w:pPr>
      <w:bookmarkStart w:id="0" w:name="_GoBack"/>
      <w:bookmarkEnd w:id="0"/>
    </w:p>
    <w:p w14:paraId="4383D374">
      <w:pPr>
        <w:bidi w:val="0"/>
      </w:pPr>
    </w:p>
    <w:p w14:paraId="222F9331">
      <w:pPr>
        <w:bidi w:val="0"/>
      </w:pPr>
    </w:p>
    <w:p w14:paraId="1C4D2C2C">
      <w:pPr>
        <w:bidi w:val="0"/>
      </w:pPr>
    </w:p>
    <w:p w14:paraId="2613EA3D">
      <w:pPr>
        <w:tabs>
          <w:tab w:val="left" w:pos="3770"/>
        </w:tabs>
        <w:bidi w:val="0"/>
        <w:jc w:val="left"/>
        <w:rPr>
          <w:rFonts w:hint="eastAsia"/>
          <w:lang w:eastAsia="zh-CN"/>
        </w:rPr>
      </w:pPr>
    </w:p>
    <w:p w14:paraId="3A6D287B">
      <w:pPr>
        <w:tabs>
          <w:tab w:val="left" w:pos="3770"/>
        </w:tabs>
        <w:bidi w:val="0"/>
        <w:jc w:val="left"/>
        <w:rPr>
          <w:rFonts w:hint="eastAsia"/>
          <w:lang w:eastAsia="zh-CN"/>
        </w:rPr>
      </w:pPr>
    </w:p>
    <w:p w14:paraId="15A37C1D">
      <w:pPr>
        <w:tabs>
          <w:tab w:val="left" w:pos="3770"/>
        </w:tabs>
        <w:bidi w:val="0"/>
        <w:jc w:val="left"/>
        <w:rPr>
          <w:rFonts w:hint="eastAsia"/>
          <w:lang w:eastAsia="zh-CN"/>
        </w:rPr>
      </w:pPr>
    </w:p>
    <w:p w14:paraId="17FCBD62">
      <w:pPr>
        <w:pStyle w:val="9"/>
        <w:rPr>
          <w:rFonts w:hint="eastAsia"/>
          <w:lang w:eastAsia="zh-CN"/>
        </w:rPr>
      </w:pPr>
    </w:p>
    <w:p w14:paraId="13F7A1FB">
      <w:pPr>
        <w:pStyle w:val="9"/>
        <w:ind w:firstLine="4200" w:firstLineChars="1500"/>
        <w:rPr>
          <w:rFonts w:hint="eastAsia"/>
          <w:lang w:eastAsia="zh-CN"/>
        </w:rPr>
      </w:pPr>
      <w:r>
        <w:rPr>
          <w:rFonts w:hint="eastAsia"/>
          <w:lang w:val="en-US" w:eastAsia="zh-CN"/>
        </w:rPr>
        <w:t xml:space="preserve">  </w:t>
      </w: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altName w:val="方正舒体"/>
    <w:panose1 w:val="02000000000000000000"/>
    <w:charset w:val="86"/>
    <w:family w:val="auto"/>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35A8A88A">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67B45609">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3AD3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noWrap w:val="0"/>
          <w:vAlign w:val="top"/>
        </w:tcPr>
        <w:p w14:paraId="1F99136C">
          <w:pPr>
            <w:pStyle w:val="11"/>
            <w:pBdr>
              <w:bottom w:val="none" w:color="auto" w:sz="0" w:space="0"/>
            </w:pBdr>
            <w:jc w:val="left"/>
            <w:rPr>
              <w:rFonts w:hint="eastAsia"/>
              <w:b/>
              <w:sz w:val="28"/>
            </w:rPr>
          </w:pPr>
          <w:r>
            <w:rPr>
              <w:rFonts w:hint="eastAsia"/>
              <w:b/>
              <w:sz w:val="28"/>
            </w:rPr>
            <w:t>科室民主管理小组每页签字：</w:t>
          </w:r>
        </w:p>
        <w:p w14:paraId="2A3CBCDB">
          <w:pPr>
            <w:pStyle w:val="11"/>
            <w:pBdr>
              <w:bottom w:val="none" w:color="auto" w:sz="0" w:space="0"/>
            </w:pBdr>
            <w:jc w:val="left"/>
            <w:rPr>
              <w:rFonts w:hint="eastAsia"/>
              <w:b/>
              <w:sz w:val="28"/>
            </w:rPr>
          </w:pPr>
        </w:p>
        <w:p w14:paraId="1E724435">
          <w:pPr>
            <w:pStyle w:val="11"/>
            <w:pBdr>
              <w:bottom w:val="none" w:color="auto" w:sz="0" w:space="0"/>
            </w:pBdr>
            <w:jc w:val="left"/>
            <w:rPr>
              <w:rFonts w:hint="eastAsia"/>
              <w:b/>
              <w:sz w:val="28"/>
            </w:rPr>
          </w:pPr>
        </w:p>
        <w:p w14:paraId="6177EAA2">
          <w:pPr>
            <w:pStyle w:val="11"/>
            <w:pBdr>
              <w:bottom w:val="none" w:color="auto" w:sz="0" w:space="0"/>
            </w:pBdr>
            <w:jc w:val="left"/>
            <w:rPr>
              <w:b/>
            </w:rPr>
          </w:pPr>
          <w:r>
            <w:rPr>
              <w:rFonts w:hint="eastAsia"/>
              <w:b/>
              <w:sz w:val="28"/>
            </w:rPr>
            <w:t xml:space="preserve">                                          日期：</w:t>
          </w:r>
        </w:p>
      </w:tc>
    </w:tr>
  </w:tbl>
  <w:p w14:paraId="1190D508">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 w:name="KY_MEDREF_DOCUID" w:val="{0D68021A-5566-4D14-A6BB-CCB7CF89DDDC}"/>
    <w:docVar w:name="KY_MEDREF_VERSION" w:val="3"/>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E206A"/>
    <w:rsid w:val="00F035C8"/>
    <w:rsid w:val="00FA432C"/>
    <w:rsid w:val="011B32E0"/>
    <w:rsid w:val="01DE34BB"/>
    <w:rsid w:val="040F7B39"/>
    <w:rsid w:val="051D75E1"/>
    <w:rsid w:val="05273E70"/>
    <w:rsid w:val="05921E22"/>
    <w:rsid w:val="05DE6423"/>
    <w:rsid w:val="067708FD"/>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45002FA"/>
    <w:rsid w:val="15990E90"/>
    <w:rsid w:val="15B10891"/>
    <w:rsid w:val="16A97510"/>
    <w:rsid w:val="17714346"/>
    <w:rsid w:val="18CE3099"/>
    <w:rsid w:val="191E3DD6"/>
    <w:rsid w:val="19685B09"/>
    <w:rsid w:val="1A3100CD"/>
    <w:rsid w:val="1A5737E1"/>
    <w:rsid w:val="1A7412BF"/>
    <w:rsid w:val="1A9D002E"/>
    <w:rsid w:val="1B49208B"/>
    <w:rsid w:val="1C117414"/>
    <w:rsid w:val="1D1A560A"/>
    <w:rsid w:val="1D4569B7"/>
    <w:rsid w:val="1ECC2689"/>
    <w:rsid w:val="1ED3069A"/>
    <w:rsid w:val="1FC21AF3"/>
    <w:rsid w:val="201B0077"/>
    <w:rsid w:val="20926CAB"/>
    <w:rsid w:val="20BD5F9F"/>
    <w:rsid w:val="21C319BD"/>
    <w:rsid w:val="225E5CFF"/>
    <w:rsid w:val="228322EA"/>
    <w:rsid w:val="22FF23D3"/>
    <w:rsid w:val="248A5117"/>
    <w:rsid w:val="24A872D3"/>
    <w:rsid w:val="2577413D"/>
    <w:rsid w:val="25CE197B"/>
    <w:rsid w:val="25EF6C54"/>
    <w:rsid w:val="267274AD"/>
    <w:rsid w:val="284F0D34"/>
    <w:rsid w:val="28750DBE"/>
    <w:rsid w:val="28F87B6B"/>
    <w:rsid w:val="29295EFB"/>
    <w:rsid w:val="29F05E17"/>
    <w:rsid w:val="2D834187"/>
    <w:rsid w:val="2D842E64"/>
    <w:rsid w:val="2D884E7D"/>
    <w:rsid w:val="2ED75B7E"/>
    <w:rsid w:val="30204B81"/>
    <w:rsid w:val="30724EC2"/>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ED5BEA"/>
    <w:rsid w:val="4034507A"/>
    <w:rsid w:val="417F5F74"/>
    <w:rsid w:val="41951E3B"/>
    <w:rsid w:val="425222CB"/>
    <w:rsid w:val="428E5704"/>
    <w:rsid w:val="432B1AFF"/>
    <w:rsid w:val="438B3E46"/>
    <w:rsid w:val="43D04E85"/>
    <w:rsid w:val="44EB5754"/>
    <w:rsid w:val="45114517"/>
    <w:rsid w:val="4521010E"/>
    <w:rsid w:val="457E2DDA"/>
    <w:rsid w:val="45CB30E5"/>
    <w:rsid w:val="460436B8"/>
    <w:rsid w:val="462E3AEE"/>
    <w:rsid w:val="471C1984"/>
    <w:rsid w:val="47C25C55"/>
    <w:rsid w:val="480666C9"/>
    <w:rsid w:val="483372FA"/>
    <w:rsid w:val="486A31E5"/>
    <w:rsid w:val="48F23EB0"/>
    <w:rsid w:val="4A81797A"/>
    <w:rsid w:val="4AF52F9F"/>
    <w:rsid w:val="4AFA62C1"/>
    <w:rsid w:val="4B963383"/>
    <w:rsid w:val="4D277108"/>
    <w:rsid w:val="4D58766E"/>
    <w:rsid w:val="4DAD7A1C"/>
    <w:rsid w:val="4DB27C98"/>
    <w:rsid w:val="4E5E07AB"/>
    <w:rsid w:val="4E7B2EA1"/>
    <w:rsid w:val="4EFC6082"/>
    <w:rsid w:val="4F2933E6"/>
    <w:rsid w:val="4F3A2C72"/>
    <w:rsid w:val="4F4F44DD"/>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C14628F"/>
    <w:rsid w:val="5D083B1C"/>
    <w:rsid w:val="5D35266F"/>
    <w:rsid w:val="5DC77AA6"/>
    <w:rsid w:val="5FB74208"/>
    <w:rsid w:val="60414555"/>
    <w:rsid w:val="6175217B"/>
    <w:rsid w:val="61EE4EB3"/>
    <w:rsid w:val="623A09E6"/>
    <w:rsid w:val="630E2FDF"/>
    <w:rsid w:val="633B6E7C"/>
    <w:rsid w:val="638F148F"/>
    <w:rsid w:val="63AB183E"/>
    <w:rsid w:val="64914DC6"/>
    <w:rsid w:val="65F35668"/>
    <w:rsid w:val="66225EEA"/>
    <w:rsid w:val="667759E5"/>
    <w:rsid w:val="669C21BA"/>
    <w:rsid w:val="674B3506"/>
    <w:rsid w:val="68695F6C"/>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352368D"/>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6"/>
    <w:semiHidden/>
    <w:unhideWhenUsed/>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annotation text"/>
    <w:basedOn w:val="1"/>
    <w:link w:val="21"/>
    <w:qFormat/>
    <w:uiPriority w:val="0"/>
    <w:pPr>
      <w:jc w:val="left"/>
    </w:pPr>
    <w:rPr>
      <w:rFonts w:asciiTheme="minorHAnsi" w:hAnsiTheme="minorHAnsi" w:eastAsiaTheme="minorEastAsia" w:cstheme="minorBidi"/>
    </w:rPr>
  </w:style>
  <w:style w:type="paragraph" w:styleId="7">
    <w:name w:val="Body Text"/>
    <w:basedOn w:val="1"/>
    <w:next w:val="1"/>
    <w:qFormat/>
    <w:uiPriority w:val="0"/>
    <w:pPr>
      <w:spacing w:after="120"/>
    </w:pPr>
  </w:style>
  <w:style w:type="paragraph" w:styleId="8">
    <w:name w:val="Plain Text"/>
    <w:basedOn w:val="1"/>
    <w:link w:val="24"/>
    <w:qFormat/>
    <w:uiPriority w:val="0"/>
    <w:rPr>
      <w:rFonts w:ascii="宋体" w:hAnsi="Courier New" w:eastAsiaTheme="minorEastAsia" w:cstheme="minorBidi"/>
      <w:szCs w:val="20"/>
    </w:rPr>
  </w:style>
  <w:style w:type="paragraph" w:styleId="9">
    <w:name w:val="endnote text"/>
    <w:basedOn w:val="1"/>
    <w:qFormat/>
    <w:uiPriority w:val="0"/>
    <w:pPr>
      <w:snapToGrid w:val="0"/>
      <w:jc w:val="left"/>
    </w:pPr>
    <w:rPr>
      <w:rFonts w:ascii="宋体" w:hAnsi="宋体"/>
      <w:kern w:val="0"/>
      <w:sz w:val="28"/>
    </w:rPr>
  </w:style>
  <w:style w:type="paragraph" w:styleId="10">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qFormat/>
    <w:uiPriority w:val="0"/>
    <w:rPr>
      <w:rFonts w:ascii="Times New Roman" w:hAnsi="Times New Roman" w:eastAsia="宋体" w:cs="Times New Roman"/>
      <w:b/>
      <w:bCs/>
    </w:rPr>
  </w:style>
  <w:style w:type="character" w:styleId="18">
    <w:name w:val="FollowedHyperlink"/>
    <w:basedOn w:val="17"/>
    <w:qFormat/>
    <w:uiPriority w:val="0"/>
    <w:rPr>
      <w:rFonts w:hint="eastAsia" w:ascii="黑体" w:hAnsi="宋体" w:eastAsia="黑体" w:cs="黑体"/>
      <w:color w:val="000000"/>
      <w:u w:val="none"/>
    </w:rPr>
  </w:style>
  <w:style w:type="character" w:styleId="19">
    <w:name w:val="Hyperlink"/>
    <w:basedOn w:val="17"/>
    <w:qFormat/>
    <w:uiPriority w:val="0"/>
    <w:rPr>
      <w:rFonts w:ascii="黑体" w:hAnsi="宋体" w:eastAsia="黑体" w:cs="黑体"/>
      <w:color w:val="000000"/>
      <w:u w:val="none"/>
    </w:rPr>
  </w:style>
  <w:style w:type="character" w:styleId="20">
    <w:name w:val="annotation reference"/>
    <w:basedOn w:val="17"/>
    <w:qFormat/>
    <w:uiPriority w:val="0"/>
    <w:rPr>
      <w:sz w:val="21"/>
      <w:szCs w:val="21"/>
    </w:rPr>
  </w:style>
  <w:style w:type="character" w:customStyle="1" w:styleId="21">
    <w:name w:val="批注文字 字符"/>
    <w:basedOn w:val="17"/>
    <w:link w:val="6"/>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semiHidden/>
    <w:unhideWhenUsed/>
    <w:qFormat/>
    <w:uiPriority w:val="99"/>
    <w:rPr>
      <w:color w:val="605E5C"/>
      <w:shd w:val="clear" w:color="auto" w:fill="E1DFDD"/>
    </w:rPr>
  </w:style>
  <w:style w:type="character" w:customStyle="1" w:styleId="24">
    <w:name w:val="纯文本 字符"/>
    <w:basedOn w:val="17"/>
    <w:link w:val="8"/>
    <w:qFormat/>
    <w:uiPriority w:val="0"/>
    <w:rPr>
      <w:rFonts w:ascii="宋体" w:hAnsi="Courier New" w:eastAsiaTheme="minorEastAsia" w:cstheme="minorBidi"/>
      <w:kern w:val="2"/>
      <w:sz w:val="21"/>
    </w:rPr>
  </w:style>
  <w:style w:type="character" w:customStyle="1" w:styleId="25">
    <w:name w:val="页眉 字符"/>
    <w:basedOn w:val="17"/>
    <w:link w:val="11"/>
    <w:qFormat/>
    <w:uiPriority w:val="0"/>
    <w:rPr>
      <w:kern w:val="2"/>
      <w:sz w:val="18"/>
      <w:szCs w:val="18"/>
    </w:rPr>
  </w:style>
  <w:style w:type="character" w:customStyle="1" w:styleId="26">
    <w:name w:val="标题 3 字符"/>
    <w:basedOn w:val="17"/>
    <w:link w:val="3"/>
    <w:semiHidden/>
    <w:qFormat/>
    <w:uiPriority w:val="0"/>
    <w:rPr>
      <w:b/>
      <w:bCs/>
      <w:kern w:val="2"/>
      <w:sz w:val="32"/>
      <w:szCs w:val="32"/>
    </w:rPr>
  </w:style>
  <w:style w:type="paragraph" w:styleId="27">
    <w:name w:val="List Paragraph"/>
    <w:basedOn w:val="1"/>
    <w:qFormat/>
    <w:uiPriority w:val="99"/>
    <w:pPr>
      <w:ind w:firstLine="420" w:firstLineChars="200"/>
    </w:pPr>
  </w:style>
  <w:style w:type="paragraph" w:customStyle="1" w:styleId="28">
    <w:name w:val=".."/>
    <w:basedOn w:val="1"/>
    <w:next w:val="1"/>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29">
    <w:name w:val="列出段落1"/>
    <w:basedOn w:val="1"/>
    <w:qFormat/>
    <w:uiPriority w:val="34"/>
    <w:pPr>
      <w:ind w:firstLine="420" w:firstLineChars="200"/>
    </w:pPr>
    <w:rPr>
      <w:szCs w:val="24"/>
    </w:rPr>
  </w:style>
  <w:style w:type="paragraph" w:customStyle="1" w:styleId="30">
    <w:name w:val="表格文字"/>
    <w:basedOn w:val="1"/>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5333</Words>
  <Characters>5505</Characters>
  <Lines>4</Lines>
  <Paragraphs>10</Paragraphs>
  <TotalTime>3</TotalTime>
  <ScaleCrop>false</ScaleCrop>
  <LinksUpToDate>false</LinksUpToDate>
  <CharactersWithSpaces>5618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ML</cp:lastModifiedBy>
  <dcterms:modified xsi:type="dcterms:W3CDTF">2025-04-16T03:18:40Z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15B9EBB6E19F4EDEB3920D6F29A57898_13</vt:lpwstr>
  </property>
  <property fmtid="{D5CDD505-2E9C-101B-9397-08002B2CF9AE}" pid="4" name="KSOTemplateDocerSaveRecord">
    <vt:lpwstr>eyJoZGlkIjoiMjQ1OWIzOTVlMWY1ZTMyODIyNmQ4NzJlNDcxYjA4MzkiLCJ1c2VySWQiOiIzNzA4NTY4NTAifQ==</vt:lpwstr>
  </property>
</Properties>
</file>