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2445C">
      <w:pPr>
        <w:pStyle w:val="14"/>
        <w:spacing w:line="560" w:lineRule="exact"/>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华文中宋" w:hAnsi="华文中宋" w:eastAsia="华文中宋" w:cs="宋体"/>
          <w:color w:val="333333"/>
          <w:kern w:val="0"/>
          <w:sz w:val="44"/>
          <w:szCs w:val="44"/>
        </w:rPr>
        <w:t>货物类项目采购需求申报书</w:t>
      </w:r>
    </w:p>
    <w:p w14:paraId="4D2ACBEB">
      <w:pPr>
        <w:rPr>
          <w:color w:val="000000" w:themeColor="text1"/>
          <w14:textFill>
            <w14:solidFill>
              <w14:schemeClr w14:val="tx1"/>
            </w14:solidFill>
          </w14:textFill>
        </w:rPr>
      </w:pPr>
    </w:p>
    <w:tbl>
      <w:tblPr>
        <w:tblStyle w:val="16"/>
        <w:tblW w:w="9285"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078"/>
        <w:gridCol w:w="3243"/>
        <w:gridCol w:w="1543"/>
        <w:gridCol w:w="1995"/>
      </w:tblGrid>
      <w:tr w14:paraId="0B1AC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04" w:type="dxa"/>
            <w:gridSpan w:val="2"/>
            <w:vAlign w:val="center"/>
          </w:tcPr>
          <w:p w14:paraId="10FAB2D5">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rPr>
              <w:t>项目名称</w:t>
            </w:r>
          </w:p>
        </w:tc>
        <w:tc>
          <w:tcPr>
            <w:tcW w:w="3243" w:type="dxa"/>
            <w:vAlign w:val="center"/>
          </w:tcPr>
          <w:p w14:paraId="19B1C93C">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rPr>
              <w:t>血管内冲击波治疗设备</w:t>
            </w:r>
          </w:p>
        </w:tc>
        <w:tc>
          <w:tcPr>
            <w:tcW w:w="1543" w:type="dxa"/>
            <w:vAlign w:val="center"/>
          </w:tcPr>
          <w:p w14:paraId="0036B2B2">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采购类型</w:t>
            </w:r>
          </w:p>
        </w:tc>
        <w:tc>
          <w:tcPr>
            <w:tcW w:w="1995" w:type="dxa"/>
            <w:vAlign w:val="center"/>
          </w:tcPr>
          <w:p w14:paraId="0D15CEFB">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货物类</w:t>
            </w:r>
          </w:p>
        </w:tc>
      </w:tr>
      <w:tr w14:paraId="0C321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4F810277">
            <w:pPr>
              <w:jc w:val="center"/>
              <w:rPr>
                <w:rFonts w:hint="eastAsia" w:asciiTheme="minorEastAsia" w:hAnsiTheme="minorEastAsia" w:eastAsiaTheme="minorEastAsia"/>
                <w:color w:val="auto"/>
                <w:szCs w:val="21"/>
                <w:highlight w:val="yellow"/>
                <w:lang w:eastAsia="zh-CN"/>
              </w:rPr>
            </w:pPr>
            <w:r>
              <w:rPr>
                <w:rFonts w:hint="eastAsia" w:asciiTheme="minorEastAsia" w:hAnsiTheme="minorEastAsia" w:eastAsiaTheme="minorEastAsia"/>
                <w:color w:val="auto"/>
                <w:szCs w:val="21"/>
                <w:highlight w:val="yellow"/>
                <w:lang w:eastAsia="zh-CN"/>
              </w:rPr>
              <w:t>数量</w:t>
            </w:r>
          </w:p>
        </w:tc>
        <w:tc>
          <w:tcPr>
            <w:tcW w:w="3243" w:type="dxa"/>
            <w:vAlign w:val="center"/>
          </w:tcPr>
          <w:p w14:paraId="0C174A06">
            <w:pPr>
              <w:jc w:val="center"/>
              <w:rPr>
                <w:rFonts w:hint="default"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1</w:t>
            </w:r>
          </w:p>
        </w:tc>
        <w:tc>
          <w:tcPr>
            <w:tcW w:w="1543" w:type="dxa"/>
            <w:vAlign w:val="center"/>
          </w:tcPr>
          <w:p w14:paraId="77AB08BA">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采购</w:t>
            </w:r>
            <w:r>
              <w:rPr>
                <w:rFonts w:hint="eastAsia" w:asciiTheme="minorEastAsia" w:hAnsiTheme="minorEastAsia" w:eastAsiaTheme="minorEastAsia"/>
                <w:color w:val="auto"/>
                <w:szCs w:val="21"/>
                <w:highlight w:val="none"/>
              </w:rPr>
              <w:t>方</w:t>
            </w:r>
            <w:r>
              <w:rPr>
                <w:rFonts w:asciiTheme="minorEastAsia" w:hAnsiTheme="minorEastAsia" w:eastAsiaTheme="minorEastAsia"/>
                <w:color w:val="auto"/>
                <w:szCs w:val="21"/>
                <w:highlight w:val="none"/>
              </w:rPr>
              <w:t>式</w:t>
            </w:r>
          </w:p>
        </w:tc>
        <w:tc>
          <w:tcPr>
            <w:tcW w:w="1995" w:type="dxa"/>
            <w:vAlign w:val="center"/>
          </w:tcPr>
          <w:p w14:paraId="36ECC007">
            <w:pPr>
              <w:jc w:val="center"/>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公开招标</w:t>
            </w:r>
          </w:p>
        </w:tc>
      </w:tr>
      <w:tr w14:paraId="23F1A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260FE54D">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rPr>
              <w:t>预算限额（万元）</w:t>
            </w:r>
          </w:p>
        </w:tc>
        <w:tc>
          <w:tcPr>
            <w:tcW w:w="3243" w:type="dxa"/>
            <w:vAlign w:val="center"/>
          </w:tcPr>
          <w:p w14:paraId="0CD92C99">
            <w:pPr>
              <w:jc w:val="center"/>
              <w:rPr>
                <w:rFonts w:hint="default"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4.5</w:t>
            </w:r>
          </w:p>
        </w:tc>
        <w:tc>
          <w:tcPr>
            <w:tcW w:w="1543" w:type="dxa"/>
            <w:shd w:val="clear" w:color="auto" w:fill="auto"/>
            <w:vAlign w:val="center"/>
          </w:tcPr>
          <w:p w14:paraId="3DBBD9E6">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lang w:eastAsia="zh-CN"/>
              </w:rPr>
              <w:t>是否接受进口</w:t>
            </w:r>
          </w:p>
        </w:tc>
        <w:tc>
          <w:tcPr>
            <w:tcW w:w="1995" w:type="dxa"/>
            <w:shd w:val="clear" w:color="auto" w:fill="auto"/>
            <w:vAlign w:val="center"/>
          </w:tcPr>
          <w:p w14:paraId="38AE71B0">
            <w:pPr>
              <w:jc w:val="center"/>
              <w:rPr>
                <w:rFonts w:hint="eastAsia" w:asciiTheme="minorEastAsia" w:hAnsiTheme="minorEastAsia" w:eastAsiaTheme="minorEastAsia"/>
                <w:color w:val="auto"/>
                <w:szCs w:val="21"/>
                <w:highlight w:val="yellow"/>
                <w:lang w:eastAsia="zh-CN"/>
              </w:rPr>
            </w:pPr>
            <w:r>
              <w:rPr>
                <w:rFonts w:hint="eastAsia" w:asciiTheme="minorEastAsia" w:hAnsiTheme="minorEastAsia" w:eastAsiaTheme="minorEastAsia"/>
                <w:color w:val="auto"/>
                <w:szCs w:val="21"/>
                <w:highlight w:val="yellow"/>
                <w:lang w:eastAsia="zh-CN"/>
              </w:rPr>
              <w:t>是</w:t>
            </w:r>
          </w:p>
        </w:tc>
      </w:tr>
      <w:tr w14:paraId="7817A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747" w:type="dxa"/>
            <w:gridSpan w:val="3"/>
            <w:vAlign w:val="center"/>
          </w:tcPr>
          <w:p w14:paraId="3D883B08">
            <w:pPr>
              <w:jc w:val="center"/>
              <w:rPr>
                <w:rFonts w:hint="default"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设备是否需要具备医疗器械注册证</w:t>
            </w:r>
          </w:p>
        </w:tc>
        <w:tc>
          <w:tcPr>
            <w:tcW w:w="3538" w:type="dxa"/>
            <w:gridSpan w:val="2"/>
            <w:shd w:val="clear" w:color="auto" w:fill="auto"/>
            <w:vAlign w:val="center"/>
          </w:tcPr>
          <w:p w14:paraId="1186D8F1">
            <w:pPr>
              <w:jc w:val="center"/>
              <w:rPr>
                <w:rFonts w:hint="eastAsia" w:asciiTheme="minorEastAsia" w:hAnsiTheme="minorEastAsia" w:eastAsiaTheme="minorEastAsia"/>
                <w:color w:val="auto"/>
                <w:szCs w:val="21"/>
                <w:highlight w:val="yellow"/>
                <w:lang w:eastAsia="zh-CN"/>
              </w:rPr>
            </w:pPr>
            <w:r>
              <w:rPr>
                <w:rFonts w:hint="eastAsia" w:asciiTheme="minorEastAsia" w:hAnsiTheme="minorEastAsia" w:eastAsiaTheme="minorEastAsia"/>
                <w:color w:val="auto"/>
                <w:szCs w:val="21"/>
                <w:highlight w:val="yellow"/>
                <w:lang w:eastAsia="zh-CN"/>
              </w:rPr>
              <w:t>是</w:t>
            </w:r>
          </w:p>
        </w:tc>
      </w:tr>
      <w:tr w14:paraId="37B46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26" w:type="dxa"/>
          </w:tcPr>
          <w:p w14:paraId="68C88EAC">
            <w:pPr>
              <w:jc w:val="center"/>
              <w:rPr>
                <w:rFonts w:cs="宋体" w:asciiTheme="minorEastAsia" w:hAnsiTheme="minorEastAsia" w:eastAsiaTheme="minorEastAsia"/>
                <w:color w:val="auto"/>
                <w:kern w:val="0"/>
                <w:szCs w:val="21"/>
                <w:highlight w:val="yellow"/>
              </w:rPr>
            </w:pPr>
            <w:r>
              <w:rPr>
                <w:rFonts w:hint="eastAsia" w:cs="宋体" w:asciiTheme="minorEastAsia" w:hAnsiTheme="minorEastAsia" w:eastAsiaTheme="minorEastAsia"/>
                <w:color w:val="auto"/>
                <w:kern w:val="0"/>
                <w:szCs w:val="21"/>
                <w:highlight w:val="yellow"/>
              </w:rPr>
              <w:t>货物清单</w:t>
            </w:r>
          </w:p>
        </w:tc>
        <w:tc>
          <w:tcPr>
            <w:tcW w:w="8859" w:type="dxa"/>
            <w:gridSpan w:val="4"/>
          </w:tcPr>
          <w:tbl>
            <w:tblPr>
              <w:tblStyle w:val="16"/>
              <w:tblpPr w:leftFromText="180" w:rightFromText="180" w:vertAnchor="text" w:horzAnchor="margin" w:tblpY="17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3505"/>
              <w:gridCol w:w="967"/>
              <w:gridCol w:w="1750"/>
              <w:gridCol w:w="1750"/>
            </w:tblGrid>
            <w:tr w14:paraId="5506F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center"/>
                </w:tcPr>
                <w:p w14:paraId="476C0491">
                  <w:pPr>
                    <w:jc w:val="center"/>
                    <w:rPr>
                      <w:bCs/>
                      <w:color w:val="auto"/>
                      <w:sz w:val="21"/>
                      <w:szCs w:val="21"/>
                      <w:highlight w:val="yellow"/>
                    </w:rPr>
                  </w:pPr>
                  <w:r>
                    <w:rPr>
                      <w:rFonts w:hint="eastAsia"/>
                      <w:bCs/>
                      <w:color w:val="auto"/>
                      <w:sz w:val="21"/>
                      <w:szCs w:val="21"/>
                      <w:highlight w:val="yellow"/>
                    </w:rPr>
                    <w:t>序号</w:t>
                  </w:r>
                </w:p>
              </w:tc>
              <w:tc>
                <w:tcPr>
                  <w:tcW w:w="3505" w:type="dxa"/>
                  <w:noWrap w:val="0"/>
                  <w:vAlign w:val="center"/>
                </w:tcPr>
                <w:p w14:paraId="12BD8073">
                  <w:pPr>
                    <w:jc w:val="center"/>
                    <w:rPr>
                      <w:bCs/>
                      <w:color w:val="auto"/>
                      <w:sz w:val="21"/>
                      <w:szCs w:val="21"/>
                      <w:highlight w:val="yellow"/>
                    </w:rPr>
                  </w:pPr>
                  <w:r>
                    <w:rPr>
                      <w:rFonts w:hint="eastAsia"/>
                      <w:bCs/>
                      <w:color w:val="auto"/>
                      <w:sz w:val="21"/>
                      <w:szCs w:val="21"/>
                      <w:highlight w:val="yellow"/>
                    </w:rPr>
                    <w:t>货物名称</w:t>
                  </w:r>
                </w:p>
              </w:tc>
              <w:tc>
                <w:tcPr>
                  <w:tcW w:w="967" w:type="dxa"/>
                  <w:noWrap w:val="0"/>
                  <w:vAlign w:val="center"/>
                </w:tcPr>
                <w:p w14:paraId="7246ED23">
                  <w:pPr>
                    <w:jc w:val="center"/>
                    <w:rPr>
                      <w:bCs/>
                      <w:color w:val="auto"/>
                      <w:sz w:val="21"/>
                      <w:szCs w:val="21"/>
                      <w:highlight w:val="yellow"/>
                    </w:rPr>
                  </w:pPr>
                  <w:r>
                    <w:rPr>
                      <w:rFonts w:hint="eastAsia"/>
                      <w:bCs/>
                      <w:color w:val="auto"/>
                      <w:sz w:val="21"/>
                      <w:szCs w:val="21"/>
                      <w:highlight w:val="yellow"/>
                    </w:rPr>
                    <w:t>数量</w:t>
                  </w:r>
                </w:p>
              </w:tc>
              <w:tc>
                <w:tcPr>
                  <w:tcW w:w="1750" w:type="dxa"/>
                  <w:noWrap w:val="0"/>
                  <w:vAlign w:val="center"/>
                </w:tcPr>
                <w:p w14:paraId="2F9EAD58">
                  <w:pPr>
                    <w:jc w:val="center"/>
                    <w:rPr>
                      <w:bCs/>
                      <w:color w:val="auto"/>
                      <w:sz w:val="21"/>
                      <w:szCs w:val="21"/>
                      <w:highlight w:val="yellow"/>
                    </w:rPr>
                  </w:pPr>
                  <w:r>
                    <w:rPr>
                      <w:rFonts w:hint="eastAsia"/>
                      <w:bCs/>
                      <w:color w:val="auto"/>
                      <w:sz w:val="21"/>
                      <w:szCs w:val="21"/>
                      <w:highlight w:val="yellow"/>
                    </w:rPr>
                    <w:t>单位</w:t>
                  </w:r>
                </w:p>
              </w:tc>
              <w:tc>
                <w:tcPr>
                  <w:tcW w:w="1750" w:type="dxa"/>
                  <w:noWrap w:val="0"/>
                  <w:vAlign w:val="center"/>
                </w:tcPr>
                <w:p w14:paraId="79D41130">
                  <w:pPr>
                    <w:jc w:val="center"/>
                    <w:rPr>
                      <w:rFonts w:hint="eastAsia" w:eastAsia="宋体"/>
                      <w:bCs/>
                      <w:color w:val="auto"/>
                      <w:sz w:val="21"/>
                      <w:szCs w:val="21"/>
                      <w:highlight w:val="yellow"/>
                      <w:lang w:eastAsia="zh-CN"/>
                    </w:rPr>
                  </w:pPr>
                  <w:r>
                    <w:rPr>
                      <w:rFonts w:hint="eastAsia"/>
                      <w:bCs/>
                      <w:color w:val="auto"/>
                      <w:sz w:val="21"/>
                      <w:szCs w:val="21"/>
                      <w:highlight w:val="yellow"/>
                      <w:lang w:eastAsia="zh-CN"/>
                    </w:rPr>
                    <w:t>限价</w:t>
                  </w:r>
                </w:p>
              </w:tc>
            </w:tr>
            <w:tr w14:paraId="70594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19A9C495">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1</w:t>
                  </w:r>
                </w:p>
              </w:tc>
              <w:tc>
                <w:tcPr>
                  <w:tcW w:w="3505" w:type="dxa"/>
                  <w:noWrap w:val="0"/>
                  <w:vAlign w:val="center"/>
                </w:tcPr>
                <w:p w14:paraId="15DAEA12">
                  <w:pPr>
                    <w:spacing w:line="400" w:lineRule="exact"/>
                    <w:jc w:val="center"/>
                    <w:rPr>
                      <w:rFonts w:hint="eastAsia" w:ascii="宋体" w:hAnsi="宋体"/>
                      <w:color w:val="auto"/>
                      <w:kern w:val="0"/>
                      <w:sz w:val="21"/>
                      <w:szCs w:val="21"/>
                      <w:highlight w:val="yellow"/>
                    </w:rPr>
                  </w:pPr>
                  <w:r>
                    <w:rPr>
                      <w:rFonts w:hint="eastAsia" w:ascii="宋体" w:hAnsi="宋体"/>
                      <w:color w:val="auto"/>
                      <w:kern w:val="0"/>
                      <w:sz w:val="21"/>
                      <w:szCs w:val="21"/>
                      <w:highlight w:val="yellow"/>
                    </w:rPr>
                    <w:t>血管内冲击波治疗设备</w:t>
                  </w:r>
                </w:p>
              </w:tc>
              <w:tc>
                <w:tcPr>
                  <w:tcW w:w="967" w:type="dxa"/>
                  <w:noWrap w:val="0"/>
                  <w:vAlign w:val="top"/>
                </w:tcPr>
                <w:p w14:paraId="0A0A6293">
                  <w:pPr>
                    <w:jc w:val="center"/>
                    <w:rPr>
                      <w:rFonts w:hint="default" w:eastAsia="宋体"/>
                      <w:bCs/>
                      <w:color w:val="auto"/>
                      <w:sz w:val="21"/>
                      <w:szCs w:val="21"/>
                      <w:highlight w:val="yellow"/>
                      <w:lang w:val="en-US" w:eastAsia="zh-CN"/>
                    </w:rPr>
                  </w:pPr>
                  <w:r>
                    <w:rPr>
                      <w:rFonts w:hint="eastAsia"/>
                      <w:bCs/>
                      <w:color w:val="auto"/>
                      <w:sz w:val="21"/>
                      <w:szCs w:val="21"/>
                      <w:highlight w:val="yellow"/>
                      <w:lang w:val="en-US" w:eastAsia="zh-CN"/>
                    </w:rPr>
                    <w:t>1</w:t>
                  </w:r>
                </w:p>
              </w:tc>
              <w:tc>
                <w:tcPr>
                  <w:tcW w:w="1750" w:type="dxa"/>
                  <w:noWrap w:val="0"/>
                  <w:vAlign w:val="center"/>
                </w:tcPr>
                <w:p w14:paraId="01966D8F">
                  <w:pPr>
                    <w:spacing w:line="400" w:lineRule="exact"/>
                    <w:jc w:val="center"/>
                    <w:rPr>
                      <w:rFonts w:hint="eastAsia" w:eastAsia="宋体"/>
                      <w:bCs/>
                      <w:color w:val="auto"/>
                      <w:sz w:val="21"/>
                      <w:szCs w:val="21"/>
                      <w:highlight w:val="yellow"/>
                      <w:lang w:eastAsia="zh-CN"/>
                    </w:rPr>
                  </w:pPr>
                  <w:r>
                    <w:rPr>
                      <w:rFonts w:hint="eastAsia"/>
                      <w:bCs/>
                      <w:color w:val="auto"/>
                      <w:sz w:val="21"/>
                      <w:szCs w:val="21"/>
                      <w:highlight w:val="yellow"/>
                      <w:lang w:eastAsia="zh-CN"/>
                    </w:rPr>
                    <w:t>台</w:t>
                  </w:r>
                </w:p>
              </w:tc>
              <w:tc>
                <w:tcPr>
                  <w:tcW w:w="1750" w:type="dxa"/>
                  <w:noWrap w:val="0"/>
                  <w:vAlign w:val="center"/>
                </w:tcPr>
                <w:p w14:paraId="0F8C0D95">
                  <w:pPr>
                    <w:spacing w:line="400" w:lineRule="exact"/>
                    <w:jc w:val="center"/>
                    <w:rPr>
                      <w:bCs/>
                      <w:color w:val="auto"/>
                      <w:sz w:val="21"/>
                      <w:szCs w:val="21"/>
                      <w:highlight w:val="yellow"/>
                    </w:rPr>
                  </w:pPr>
                </w:p>
              </w:tc>
            </w:tr>
            <w:tr w14:paraId="183BB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4DD23619">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2</w:t>
                  </w:r>
                </w:p>
              </w:tc>
              <w:tc>
                <w:tcPr>
                  <w:tcW w:w="3505" w:type="dxa"/>
                  <w:noWrap w:val="0"/>
                  <w:vAlign w:val="center"/>
                </w:tcPr>
                <w:p w14:paraId="21CCA6E1">
                  <w:pPr>
                    <w:jc w:val="center"/>
                    <w:rPr>
                      <w:rFonts w:ascii="宋体" w:hAnsi="宋体"/>
                      <w:color w:val="auto"/>
                      <w:sz w:val="21"/>
                      <w:szCs w:val="21"/>
                      <w:highlight w:val="yellow"/>
                    </w:rPr>
                  </w:pPr>
                  <w:r>
                    <w:rPr>
                      <w:rFonts w:hint="eastAsia" w:ascii="宋体" w:hAnsi="宋体"/>
                      <w:color w:val="auto"/>
                      <w:sz w:val="21"/>
                      <w:szCs w:val="21"/>
                      <w:highlight w:val="yellow"/>
                    </w:rPr>
                    <w:t>一次性使用冠脉血管内冲击波导管</w:t>
                  </w:r>
                </w:p>
              </w:tc>
              <w:tc>
                <w:tcPr>
                  <w:tcW w:w="967" w:type="dxa"/>
                  <w:noWrap w:val="0"/>
                  <w:vAlign w:val="center"/>
                </w:tcPr>
                <w:p w14:paraId="564F740C">
                  <w:pPr>
                    <w:jc w:val="center"/>
                    <w:rPr>
                      <w:rFonts w:hint="default" w:ascii="宋体" w:hAnsi="宋体" w:eastAsia="宋体"/>
                      <w:color w:val="auto"/>
                      <w:sz w:val="21"/>
                      <w:szCs w:val="21"/>
                      <w:highlight w:val="yellow"/>
                      <w:lang w:val="en-US" w:eastAsia="zh-CN"/>
                    </w:rPr>
                  </w:pPr>
                  <w:r>
                    <w:rPr>
                      <w:rFonts w:hint="eastAsia" w:ascii="宋体" w:hAnsi="宋体"/>
                      <w:color w:val="auto"/>
                      <w:sz w:val="21"/>
                      <w:szCs w:val="21"/>
                      <w:highlight w:val="yellow"/>
                      <w:lang w:val="en-US" w:eastAsia="zh-CN"/>
                    </w:rPr>
                    <w:t>1</w:t>
                  </w:r>
                </w:p>
              </w:tc>
              <w:tc>
                <w:tcPr>
                  <w:tcW w:w="1750" w:type="dxa"/>
                  <w:noWrap w:val="0"/>
                  <w:vAlign w:val="center"/>
                </w:tcPr>
                <w:p w14:paraId="046840F5">
                  <w:pPr>
                    <w:jc w:val="center"/>
                    <w:rPr>
                      <w:rFonts w:hint="eastAsia" w:ascii="宋体" w:hAnsi="宋体" w:eastAsia="宋体" w:cs="宋体"/>
                      <w:b/>
                      <w:color w:val="auto"/>
                      <w:sz w:val="21"/>
                      <w:szCs w:val="21"/>
                      <w:highlight w:val="yellow"/>
                      <w:lang w:eastAsia="zh-CN"/>
                    </w:rPr>
                  </w:pPr>
                  <w:r>
                    <w:rPr>
                      <w:rFonts w:hint="eastAsia" w:ascii="宋体" w:hAnsi="宋体" w:cs="宋体"/>
                      <w:b/>
                      <w:color w:val="auto"/>
                      <w:sz w:val="21"/>
                      <w:szCs w:val="21"/>
                      <w:highlight w:val="yellow"/>
                      <w:lang w:eastAsia="zh-CN"/>
                    </w:rPr>
                    <w:t>条</w:t>
                  </w:r>
                </w:p>
              </w:tc>
              <w:tc>
                <w:tcPr>
                  <w:tcW w:w="1750" w:type="dxa"/>
                  <w:noWrap w:val="0"/>
                  <w:vAlign w:val="center"/>
                </w:tcPr>
                <w:p w14:paraId="2070AC2D">
                  <w:pPr>
                    <w:jc w:val="center"/>
                    <w:rPr>
                      <w:rFonts w:hint="eastAsia" w:ascii="宋体" w:hAnsi="宋体" w:cs="宋体"/>
                      <w:b/>
                      <w:color w:val="auto"/>
                      <w:sz w:val="21"/>
                      <w:szCs w:val="21"/>
                      <w:highlight w:val="yellow"/>
                    </w:rPr>
                  </w:pPr>
                </w:p>
              </w:tc>
            </w:tr>
            <w:tr w14:paraId="2A0AD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51C85653">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3</w:t>
                  </w:r>
                </w:p>
              </w:tc>
              <w:tc>
                <w:tcPr>
                  <w:tcW w:w="3505" w:type="dxa"/>
                  <w:noWrap w:val="0"/>
                  <w:vAlign w:val="center"/>
                </w:tcPr>
                <w:p w14:paraId="69ACE6DD">
                  <w:pPr>
                    <w:jc w:val="center"/>
                    <w:rPr>
                      <w:rFonts w:ascii="宋体" w:hAnsi="宋体" w:cs="微软雅黑"/>
                      <w:color w:val="auto"/>
                      <w:sz w:val="21"/>
                      <w:szCs w:val="21"/>
                      <w:highlight w:val="yellow"/>
                    </w:rPr>
                  </w:pPr>
                </w:p>
              </w:tc>
              <w:tc>
                <w:tcPr>
                  <w:tcW w:w="967" w:type="dxa"/>
                  <w:noWrap w:val="0"/>
                  <w:vAlign w:val="center"/>
                </w:tcPr>
                <w:p w14:paraId="47E9D7EA">
                  <w:pPr>
                    <w:jc w:val="center"/>
                    <w:rPr>
                      <w:rFonts w:hint="eastAsia" w:ascii="宋体" w:hAnsi="宋体" w:eastAsia="宋体"/>
                      <w:color w:val="auto"/>
                      <w:sz w:val="21"/>
                      <w:szCs w:val="21"/>
                      <w:highlight w:val="yellow"/>
                      <w:lang w:val="en-US" w:eastAsia="zh-CN"/>
                    </w:rPr>
                  </w:pPr>
                </w:p>
              </w:tc>
              <w:tc>
                <w:tcPr>
                  <w:tcW w:w="1750" w:type="dxa"/>
                  <w:noWrap w:val="0"/>
                  <w:vAlign w:val="center"/>
                </w:tcPr>
                <w:p w14:paraId="20AD6990">
                  <w:pPr>
                    <w:jc w:val="center"/>
                    <w:rPr>
                      <w:rFonts w:hint="eastAsia" w:ascii="宋体" w:hAnsi="宋体" w:cs="宋体"/>
                      <w:b/>
                      <w:color w:val="auto"/>
                      <w:sz w:val="21"/>
                      <w:szCs w:val="21"/>
                      <w:highlight w:val="yellow"/>
                    </w:rPr>
                  </w:pPr>
                </w:p>
              </w:tc>
              <w:tc>
                <w:tcPr>
                  <w:tcW w:w="1750" w:type="dxa"/>
                  <w:noWrap w:val="0"/>
                  <w:vAlign w:val="center"/>
                </w:tcPr>
                <w:p w14:paraId="5A05015B">
                  <w:pPr>
                    <w:jc w:val="center"/>
                    <w:rPr>
                      <w:rFonts w:hint="eastAsia" w:ascii="宋体" w:hAnsi="宋体" w:cs="宋体"/>
                      <w:b/>
                      <w:color w:val="auto"/>
                      <w:sz w:val="21"/>
                      <w:szCs w:val="21"/>
                      <w:highlight w:val="yellow"/>
                    </w:rPr>
                  </w:pPr>
                </w:p>
              </w:tc>
            </w:tr>
            <w:tr w14:paraId="1DB10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180A96F4">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4</w:t>
                  </w:r>
                </w:p>
              </w:tc>
              <w:tc>
                <w:tcPr>
                  <w:tcW w:w="3505" w:type="dxa"/>
                  <w:noWrap w:val="0"/>
                  <w:vAlign w:val="center"/>
                </w:tcPr>
                <w:p w14:paraId="72DE6989">
                  <w:pPr>
                    <w:jc w:val="center"/>
                    <w:rPr>
                      <w:rFonts w:hint="eastAsia" w:ascii="宋体" w:hAnsi="宋体" w:cs="宋体"/>
                      <w:color w:val="auto"/>
                      <w:sz w:val="21"/>
                      <w:szCs w:val="21"/>
                      <w:highlight w:val="yellow"/>
                    </w:rPr>
                  </w:pPr>
                </w:p>
              </w:tc>
              <w:tc>
                <w:tcPr>
                  <w:tcW w:w="967" w:type="dxa"/>
                  <w:noWrap w:val="0"/>
                  <w:vAlign w:val="center"/>
                </w:tcPr>
                <w:p w14:paraId="4B792896">
                  <w:pPr>
                    <w:jc w:val="center"/>
                    <w:rPr>
                      <w:rFonts w:hint="eastAsia" w:ascii="宋体" w:hAnsi="宋体" w:eastAsia="宋体" w:cs="微软雅黑"/>
                      <w:color w:val="auto"/>
                      <w:sz w:val="21"/>
                      <w:szCs w:val="21"/>
                      <w:highlight w:val="yellow"/>
                      <w:lang w:val="en-US" w:eastAsia="zh-CN"/>
                    </w:rPr>
                  </w:pPr>
                </w:p>
              </w:tc>
              <w:tc>
                <w:tcPr>
                  <w:tcW w:w="1750" w:type="dxa"/>
                  <w:noWrap w:val="0"/>
                  <w:vAlign w:val="center"/>
                </w:tcPr>
                <w:p w14:paraId="1BECA9F3">
                  <w:pPr>
                    <w:jc w:val="center"/>
                    <w:rPr>
                      <w:rFonts w:hint="eastAsia" w:ascii="宋体" w:hAnsi="宋体"/>
                      <w:b/>
                      <w:color w:val="auto"/>
                      <w:sz w:val="21"/>
                      <w:szCs w:val="21"/>
                      <w:highlight w:val="yellow"/>
                    </w:rPr>
                  </w:pPr>
                </w:p>
              </w:tc>
              <w:tc>
                <w:tcPr>
                  <w:tcW w:w="1750" w:type="dxa"/>
                  <w:noWrap w:val="0"/>
                  <w:vAlign w:val="center"/>
                </w:tcPr>
                <w:p w14:paraId="0DACE47B">
                  <w:pPr>
                    <w:jc w:val="center"/>
                    <w:rPr>
                      <w:rFonts w:hint="eastAsia" w:ascii="宋体" w:hAnsi="宋体"/>
                      <w:b/>
                      <w:color w:val="auto"/>
                      <w:sz w:val="21"/>
                      <w:szCs w:val="21"/>
                      <w:highlight w:val="yellow"/>
                    </w:rPr>
                  </w:pPr>
                </w:p>
              </w:tc>
            </w:tr>
            <w:tr w14:paraId="5F990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3879BFF8">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5</w:t>
                  </w:r>
                </w:p>
              </w:tc>
              <w:tc>
                <w:tcPr>
                  <w:tcW w:w="3505" w:type="dxa"/>
                  <w:noWrap w:val="0"/>
                  <w:vAlign w:val="center"/>
                </w:tcPr>
                <w:p w14:paraId="4ADDB3A7">
                  <w:pPr>
                    <w:jc w:val="center"/>
                    <w:rPr>
                      <w:rFonts w:hint="eastAsia" w:ascii="宋体" w:hAnsi="宋体" w:cs="宋体"/>
                      <w:color w:val="auto"/>
                      <w:sz w:val="21"/>
                      <w:szCs w:val="21"/>
                      <w:highlight w:val="yellow"/>
                    </w:rPr>
                  </w:pPr>
                </w:p>
              </w:tc>
              <w:tc>
                <w:tcPr>
                  <w:tcW w:w="967" w:type="dxa"/>
                  <w:noWrap w:val="0"/>
                  <w:vAlign w:val="center"/>
                </w:tcPr>
                <w:p w14:paraId="6F1838B7">
                  <w:pPr>
                    <w:jc w:val="center"/>
                    <w:rPr>
                      <w:rFonts w:hint="eastAsia" w:ascii="宋体" w:hAnsi="宋体" w:eastAsia="宋体" w:cs="微软雅黑"/>
                      <w:color w:val="auto"/>
                      <w:sz w:val="21"/>
                      <w:szCs w:val="21"/>
                      <w:highlight w:val="yellow"/>
                      <w:lang w:val="en-US" w:eastAsia="zh-CN"/>
                    </w:rPr>
                  </w:pPr>
                </w:p>
              </w:tc>
              <w:tc>
                <w:tcPr>
                  <w:tcW w:w="1750" w:type="dxa"/>
                  <w:noWrap w:val="0"/>
                  <w:vAlign w:val="center"/>
                </w:tcPr>
                <w:p w14:paraId="4679E803">
                  <w:pPr>
                    <w:jc w:val="center"/>
                    <w:rPr>
                      <w:rFonts w:hint="eastAsia" w:ascii="宋体" w:hAnsi="宋体"/>
                      <w:b/>
                      <w:color w:val="auto"/>
                      <w:sz w:val="21"/>
                      <w:szCs w:val="21"/>
                      <w:highlight w:val="yellow"/>
                    </w:rPr>
                  </w:pPr>
                </w:p>
              </w:tc>
              <w:tc>
                <w:tcPr>
                  <w:tcW w:w="1750" w:type="dxa"/>
                  <w:noWrap w:val="0"/>
                  <w:vAlign w:val="center"/>
                </w:tcPr>
                <w:p w14:paraId="201BE9B0">
                  <w:pPr>
                    <w:jc w:val="center"/>
                    <w:rPr>
                      <w:rFonts w:hint="eastAsia" w:ascii="宋体" w:hAnsi="宋体"/>
                      <w:b/>
                      <w:color w:val="auto"/>
                      <w:sz w:val="21"/>
                      <w:szCs w:val="21"/>
                      <w:highlight w:val="yellow"/>
                    </w:rPr>
                  </w:pPr>
                </w:p>
              </w:tc>
            </w:tr>
            <w:tr w14:paraId="6C9E1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206A15A2">
                  <w:pPr>
                    <w:jc w:val="center"/>
                    <w:rPr>
                      <w:rFonts w:hint="default" w:eastAsia="宋体"/>
                      <w:bCs/>
                      <w:color w:val="auto"/>
                      <w:sz w:val="21"/>
                      <w:szCs w:val="21"/>
                      <w:highlight w:val="yellow"/>
                      <w:lang w:val="en-US" w:eastAsia="zh-CN"/>
                    </w:rPr>
                  </w:pPr>
                  <w:r>
                    <w:rPr>
                      <w:rFonts w:hint="eastAsia"/>
                      <w:bCs/>
                      <w:color w:val="auto"/>
                      <w:sz w:val="21"/>
                      <w:szCs w:val="21"/>
                      <w:highlight w:val="yellow"/>
                      <w:lang w:val="en-US" w:eastAsia="zh-CN"/>
                    </w:rPr>
                    <w:t>6</w:t>
                  </w:r>
                </w:p>
              </w:tc>
              <w:tc>
                <w:tcPr>
                  <w:tcW w:w="3505" w:type="dxa"/>
                  <w:noWrap w:val="0"/>
                  <w:vAlign w:val="center"/>
                </w:tcPr>
                <w:p w14:paraId="1EE426F5">
                  <w:pPr>
                    <w:jc w:val="center"/>
                    <w:rPr>
                      <w:rFonts w:hint="eastAsia" w:ascii="宋体" w:hAnsi="宋体" w:cs="宋体"/>
                      <w:color w:val="auto"/>
                      <w:sz w:val="21"/>
                      <w:szCs w:val="21"/>
                      <w:highlight w:val="yellow"/>
                    </w:rPr>
                  </w:pPr>
                </w:p>
              </w:tc>
              <w:tc>
                <w:tcPr>
                  <w:tcW w:w="967" w:type="dxa"/>
                  <w:noWrap w:val="0"/>
                  <w:vAlign w:val="center"/>
                </w:tcPr>
                <w:p w14:paraId="2F0A39D2">
                  <w:pPr>
                    <w:jc w:val="center"/>
                    <w:rPr>
                      <w:rFonts w:hint="eastAsia" w:ascii="宋体" w:hAnsi="宋体" w:eastAsia="宋体" w:cs="微软雅黑"/>
                      <w:color w:val="auto"/>
                      <w:sz w:val="21"/>
                      <w:szCs w:val="21"/>
                      <w:highlight w:val="yellow"/>
                      <w:lang w:val="en-US" w:eastAsia="zh-CN"/>
                    </w:rPr>
                  </w:pPr>
                </w:p>
              </w:tc>
              <w:tc>
                <w:tcPr>
                  <w:tcW w:w="1750" w:type="dxa"/>
                  <w:noWrap w:val="0"/>
                  <w:vAlign w:val="center"/>
                </w:tcPr>
                <w:p w14:paraId="32CC6C75">
                  <w:pPr>
                    <w:jc w:val="center"/>
                    <w:rPr>
                      <w:rFonts w:hint="eastAsia" w:ascii="宋体" w:hAnsi="宋体"/>
                      <w:b/>
                      <w:color w:val="auto"/>
                      <w:sz w:val="21"/>
                      <w:szCs w:val="21"/>
                      <w:highlight w:val="yellow"/>
                    </w:rPr>
                  </w:pPr>
                </w:p>
              </w:tc>
              <w:tc>
                <w:tcPr>
                  <w:tcW w:w="1750" w:type="dxa"/>
                  <w:noWrap w:val="0"/>
                  <w:vAlign w:val="center"/>
                </w:tcPr>
                <w:p w14:paraId="4D4EE5F8">
                  <w:pPr>
                    <w:jc w:val="center"/>
                    <w:rPr>
                      <w:rFonts w:hint="eastAsia" w:ascii="宋体" w:hAnsi="宋体"/>
                      <w:b/>
                      <w:color w:val="auto"/>
                      <w:sz w:val="21"/>
                      <w:szCs w:val="21"/>
                      <w:highlight w:val="yellow"/>
                    </w:rPr>
                  </w:pPr>
                </w:p>
              </w:tc>
            </w:tr>
            <w:tr w14:paraId="31276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noWrap w:val="0"/>
                  <w:vAlign w:val="top"/>
                </w:tcPr>
                <w:p w14:paraId="75C004F3">
                  <w:pPr>
                    <w:jc w:val="center"/>
                    <w:rPr>
                      <w:rFonts w:hint="default"/>
                      <w:bCs/>
                      <w:color w:val="auto"/>
                      <w:sz w:val="21"/>
                      <w:szCs w:val="21"/>
                      <w:highlight w:val="yellow"/>
                      <w:lang w:val="en-US" w:eastAsia="zh-CN"/>
                    </w:rPr>
                  </w:pPr>
                  <w:r>
                    <w:rPr>
                      <w:rFonts w:hint="eastAsia"/>
                      <w:bCs/>
                      <w:color w:val="auto"/>
                      <w:sz w:val="21"/>
                      <w:szCs w:val="21"/>
                      <w:highlight w:val="yellow"/>
                      <w:lang w:val="en-US" w:eastAsia="zh-CN"/>
                    </w:rPr>
                    <w:t>7</w:t>
                  </w:r>
                </w:p>
              </w:tc>
              <w:tc>
                <w:tcPr>
                  <w:tcW w:w="3505" w:type="dxa"/>
                  <w:noWrap w:val="0"/>
                  <w:vAlign w:val="center"/>
                </w:tcPr>
                <w:p w14:paraId="449FE449">
                  <w:pPr>
                    <w:jc w:val="center"/>
                    <w:rPr>
                      <w:rFonts w:ascii="Times New Roman" w:hAnsi="Times New Roman" w:eastAsia="宋体" w:cs="Times New Roman"/>
                      <w:bCs/>
                      <w:sz w:val="21"/>
                      <w:szCs w:val="21"/>
                    </w:rPr>
                  </w:pPr>
                </w:p>
              </w:tc>
              <w:tc>
                <w:tcPr>
                  <w:tcW w:w="967" w:type="dxa"/>
                  <w:noWrap w:val="0"/>
                  <w:vAlign w:val="center"/>
                </w:tcPr>
                <w:p w14:paraId="56962ECA">
                  <w:pPr>
                    <w:jc w:val="center"/>
                    <w:rPr>
                      <w:rFonts w:hint="eastAsia" w:ascii="宋体" w:hAnsi="宋体" w:eastAsia="宋体" w:cs="微软雅黑"/>
                      <w:color w:val="auto"/>
                      <w:sz w:val="21"/>
                      <w:szCs w:val="21"/>
                      <w:highlight w:val="yellow"/>
                      <w:lang w:val="en-US" w:eastAsia="zh-CN"/>
                    </w:rPr>
                  </w:pPr>
                </w:p>
              </w:tc>
              <w:tc>
                <w:tcPr>
                  <w:tcW w:w="1750" w:type="dxa"/>
                  <w:noWrap w:val="0"/>
                  <w:vAlign w:val="center"/>
                </w:tcPr>
                <w:p w14:paraId="1BDE86CA">
                  <w:pPr>
                    <w:jc w:val="center"/>
                    <w:rPr>
                      <w:rFonts w:hint="eastAsia" w:ascii="宋体" w:hAnsi="宋体"/>
                      <w:b/>
                      <w:color w:val="auto"/>
                      <w:sz w:val="21"/>
                      <w:szCs w:val="21"/>
                      <w:highlight w:val="yellow"/>
                    </w:rPr>
                  </w:pPr>
                </w:p>
              </w:tc>
              <w:tc>
                <w:tcPr>
                  <w:tcW w:w="1750" w:type="dxa"/>
                  <w:noWrap w:val="0"/>
                  <w:vAlign w:val="center"/>
                </w:tcPr>
                <w:p w14:paraId="0BCA6C98">
                  <w:pPr>
                    <w:jc w:val="center"/>
                    <w:rPr>
                      <w:rFonts w:hint="eastAsia" w:ascii="宋体" w:hAnsi="宋体"/>
                      <w:b/>
                      <w:color w:val="auto"/>
                      <w:sz w:val="21"/>
                      <w:szCs w:val="21"/>
                      <w:highlight w:val="yellow"/>
                    </w:rPr>
                  </w:pPr>
                </w:p>
              </w:tc>
            </w:tr>
          </w:tbl>
          <w:p w14:paraId="5BFD9403">
            <w:pPr>
              <w:rPr>
                <w:rFonts w:asciiTheme="minorEastAsia" w:hAnsiTheme="minorEastAsia" w:eastAsiaTheme="minorEastAsia"/>
                <w:color w:val="auto"/>
                <w:szCs w:val="21"/>
                <w:highlight w:val="yellow"/>
              </w:rPr>
            </w:pPr>
          </w:p>
        </w:tc>
      </w:tr>
      <w:tr w14:paraId="50006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9" w:hRule="atLeast"/>
        </w:trPr>
        <w:tc>
          <w:tcPr>
            <w:tcW w:w="426" w:type="dxa"/>
            <w:vAlign w:val="center"/>
          </w:tcPr>
          <w:p w14:paraId="3A1F9EB6">
            <w:pPr>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具体技术要求</w:t>
            </w:r>
          </w:p>
        </w:tc>
        <w:tc>
          <w:tcPr>
            <w:tcW w:w="8859" w:type="dxa"/>
            <w:gridSpan w:val="4"/>
          </w:tcPr>
          <w:p w14:paraId="494081DB">
            <w:pPr>
              <w:pStyle w:val="27"/>
              <w:numPr>
                <w:ilvl w:val="0"/>
                <w:numId w:val="0"/>
              </w:numPr>
              <w:ind w:leftChars="0"/>
              <w:rPr>
                <w:rFonts w:asciiTheme="minorEastAsia" w:hAnsiTheme="minorEastAsia" w:eastAsiaTheme="minorEastAsia"/>
                <w:color w:val="auto"/>
                <w:szCs w:val="21"/>
                <w:highlight w:val="yellow"/>
              </w:rPr>
            </w:pPr>
            <w:r>
              <w:rPr>
                <w:rFonts w:hint="eastAsia"/>
                <w:color w:val="auto"/>
                <w:highlight w:val="yellow"/>
                <w:lang w:eastAsia="zh-CN"/>
              </w:rPr>
              <w:t>一、（请用</w:t>
            </w:r>
            <w:r>
              <w:rPr>
                <w:rFonts w:hint="eastAsia"/>
                <w:color w:val="auto"/>
                <w:highlight w:val="yellow"/>
                <w:lang w:val="en-US" w:eastAsia="zh-CN"/>
              </w:rPr>
              <w:t>100字以内描述采购标的物的功能和质量要求，建议在本处明确适用范围、病种范围或使用科室、使用场景等，可参考设备注册证或说明书上适用范围内容。描述不准有品牌倾向性</w:t>
            </w:r>
            <w:r>
              <w:rPr>
                <w:rFonts w:hint="eastAsia"/>
                <w:color w:val="auto"/>
                <w:highlight w:val="yellow"/>
                <w:lang w:eastAsia="zh-CN"/>
              </w:rPr>
              <w:t>）</w:t>
            </w:r>
          </w:p>
          <w:p w14:paraId="47123458">
            <w:pPr>
              <w:pStyle w:val="27"/>
              <w:widowControl w:val="0"/>
              <w:numPr>
                <w:ilvl w:val="0"/>
                <w:numId w:val="0"/>
              </w:numPr>
              <w:jc w:val="both"/>
              <w:rPr>
                <w:rFonts w:hint="default"/>
                <w:color w:val="auto"/>
                <w:highlight w:val="yellow"/>
                <w:u w:val="single"/>
                <w:lang w:val="en-US" w:eastAsia="zh-CN"/>
              </w:rPr>
            </w:pPr>
            <w:r>
              <w:rPr>
                <w:rFonts w:hint="eastAsia"/>
                <w:color w:val="auto"/>
                <w:highlight w:val="yellow"/>
                <w:u w:val="single"/>
                <w:lang w:val="en-US" w:eastAsia="zh-CN"/>
              </w:rPr>
              <w:t xml:space="preserve">  该设备具有人体血管内介入治疗的质量控制标准，可激发高频振动波，通过导管传导至体内血管腔。适用于心血管内科治疗冠状动脉钙化、硬质斑块等不易于松解的病变。采取经皮冠状动脉内治疗术方式，在DSA导管室进行。                                                                       </w:t>
            </w:r>
          </w:p>
          <w:p w14:paraId="2492E602">
            <w:pPr>
              <w:pStyle w:val="27"/>
              <w:widowControl w:val="0"/>
              <w:numPr>
                <w:ilvl w:val="0"/>
                <w:numId w:val="0"/>
              </w:numPr>
              <w:jc w:val="both"/>
              <w:rPr>
                <w:rFonts w:hint="eastAsia"/>
                <w:color w:val="auto"/>
                <w:highlight w:val="yellow"/>
                <w:u w:val="single"/>
                <w:lang w:val="en-US" w:eastAsia="zh-CN"/>
              </w:rPr>
            </w:pPr>
            <w:r>
              <w:rPr>
                <w:rFonts w:hint="eastAsia"/>
                <w:color w:val="auto"/>
                <w:highlight w:val="yellow"/>
                <w:u w:val="single"/>
                <w:lang w:val="en-US" w:eastAsia="zh-CN"/>
              </w:rPr>
              <w:t xml:space="preserve">                                                                                </w:t>
            </w:r>
          </w:p>
          <w:p w14:paraId="76326973">
            <w:pPr>
              <w:pStyle w:val="27"/>
              <w:widowControl w:val="0"/>
              <w:numPr>
                <w:ilvl w:val="0"/>
                <w:numId w:val="0"/>
              </w:numPr>
              <w:jc w:val="both"/>
              <w:rPr>
                <w:rFonts w:hint="eastAsia"/>
                <w:color w:val="auto"/>
                <w:highlight w:val="yellow"/>
                <w:u w:val="single"/>
                <w:lang w:val="en-US" w:eastAsia="zh-CN"/>
              </w:rPr>
            </w:pPr>
            <w:r>
              <w:rPr>
                <w:rFonts w:hint="eastAsia"/>
                <w:color w:val="auto"/>
                <w:highlight w:val="yellow"/>
                <w:u w:val="single"/>
                <w:lang w:val="en-US" w:eastAsia="zh-CN"/>
              </w:rPr>
              <w:t xml:space="preserve">                                                                                </w:t>
            </w:r>
          </w:p>
          <w:p w14:paraId="23786DEC">
            <w:pPr>
              <w:pStyle w:val="27"/>
              <w:widowControl w:val="0"/>
              <w:numPr>
                <w:ilvl w:val="0"/>
                <w:numId w:val="0"/>
              </w:numPr>
              <w:jc w:val="both"/>
              <w:rPr>
                <w:rFonts w:hint="eastAsia"/>
                <w:color w:val="auto"/>
                <w:highlight w:val="none"/>
                <w:u w:val="single"/>
                <w:lang w:eastAsia="zh-CN"/>
              </w:rPr>
            </w:pPr>
            <w:r>
              <w:rPr>
                <w:rFonts w:hint="eastAsia"/>
                <w:color w:val="auto"/>
                <w:highlight w:val="yellow"/>
                <w:u w:val="single"/>
                <w:lang w:val="en-US" w:eastAsia="zh-CN"/>
              </w:rPr>
              <w:t xml:space="preserve">                                                                                </w:t>
            </w:r>
          </w:p>
          <w:p w14:paraId="7C1A3F22">
            <w:pPr>
              <w:numPr>
                <w:ilvl w:val="0"/>
                <w:numId w:val="0"/>
              </w:numPr>
              <w:tabs>
                <w:tab w:val="left" w:pos="540"/>
              </w:tabs>
              <w:adjustRightInd w:val="0"/>
              <w:snapToGrid w:val="0"/>
              <w:spacing w:line="360" w:lineRule="auto"/>
              <w:ind w:leftChars="0"/>
              <w:rPr>
                <w:rFonts w:ascii="宋体" w:hAnsi="宋体" w:cs="宋体"/>
                <w:kern w:val="0"/>
                <w:szCs w:val="21"/>
              </w:rPr>
            </w:pPr>
            <w:r>
              <w:rPr>
                <w:rFonts w:hint="eastAsia" w:ascii="宋体" w:hAnsi="宋体" w:cs="宋体"/>
                <w:kern w:val="0"/>
                <w:szCs w:val="21"/>
                <w:lang w:eastAsia="zh-CN"/>
              </w:rPr>
              <w:t>二、</w:t>
            </w:r>
            <w:r>
              <w:rPr>
                <w:rFonts w:hint="eastAsia" w:ascii="宋体" w:hAnsi="宋体" w:cs="宋体"/>
                <w:kern w:val="0"/>
                <w:szCs w:val="21"/>
              </w:rPr>
              <w:t>投标人拟投产品符合政府采购政策的，投标人须按招标文件要求提供相关的证明材料。</w:t>
            </w:r>
          </w:p>
          <w:p w14:paraId="7563D90D">
            <w:pPr>
              <w:numPr>
                <w:ilvl w:val="0"/>
                <w:numId w:val="0"/>
              </w:numPr>
              <w:tabs>
                <w:tab w:val="left" w:pos="540"/>
              </w:tabs>
              <w:adjustRightInd w:val="0"/>
              <w:snapToGrid w:val="0"/>
              <w:spacing w:line="360" w:lineRule="auto"/>
              <w:ind w:leftChars="0"/>
              <w:rPr>
                <w:rFonts w:ascii="宋体" w:hAnsi="宋体" w:cs="宋体"/>
                <w:kern w:val="0"/>
                <w:szCs w:val="21"/>
              </w:rPr>
            </w:pPr>
            <w:r>
              <w:rPr>
                <w:rFonts w:hint="eastAsia" w:ascii="宋体" w:hAnsi="宋体" w:cs="宋体"/>
                <w:kern w:val="0"/>
                <w:szCs w:val="21"/>
                <w:lang w:eastAsia="zh-CN"/>
              </w:rPr>
              <w:t>三、</w:t>
            </w:r>
            <w:r>
              <w:rPr>
                <w:rFonts w:ascii="宋体" w:hAnsi="宋体" w:cs="宋体"/>
                <w:kern w:val="0"/>
                <w:szCs w:val="21"/>
              </w:rPr>
              <w:t>投标人拟投产品必须符合</w:t>
            </w:r>
            <w:r>
              <w:rPr>
                <w:rFonts w:hint="eastAsia" w:ascii="宋体" w:hAnsi="宋体" w:cs="宋体"/>
                <w:kern w:val="0"/>
                <w:szCs w:val="21"/>
              </w:rPr>
              <w:t>国家相关标准、行业标准、地方标准或者其他标准、规范；</w:t>
            </w:r>
          </w:p>
          <w:p w14:paraId="759BB337">
            <w:pPr>
              <w:numPr>
                <w:ilvl w:val="0"/>
                <w:numId w:val="0"/>
              </w:numPr>
              <w:tabs>
                <w:tab w:val="left" w:pos="540"/>
              </w:tabs>
              <w:adjustRightInd w:val="0"/>
              <w:snapToGrid w:val="0"/>
              <w:spacing w:line="360" w:lineRule="auto"/>
              <w:ind w:leftChars="0"/>
              <w:rPr>
                <w:rFonts w:ascii="宋体" w:hAnsi="宋体" w:cs="Courier New"/>
                <w:sz w:val="24"/>
              </w:rPr>
            </w:pPr>
            <w:r>
              <w:rPr>
                <w:rFonts w:hint="eastAsia" w:ascii="宋体" w:hAnsi="宋体" w:cs="Courier New"/>
                <w:szCs w:val="21"/>
                <w:lang w:eastAsia="zh-CN"/>
              </w:rPr>
              <w:t>四、</w:t>
            </w:r>
            <w:r>
              <w:rPr>
                <w:rFonts w:hint="eastAsia" w:ascii="宋体" w:hAnsi="宋体" w:cs="Courier New"/>
                <w:szCs w:val="21"/>
              </w:rPr>
              <w:t>如检验检测的事项属于法律、行政法规规定应当取得市场监督管理部门资质认定事项的，出具该报告的检验检测机构应当依法取得市场监督管理部门资质认定，在资质认定证书规定的能力范围内出具检验检测报告，并在报告上标注资质认定标志（CMA）。如法律、行政法规对检验检测机构资质认定另有规定的（如医疗器械类的检验检测），应依照相关法律、行政法规的规定在评审准则中予以明确报告是否需要特定资质认定标志。</w:t>
            </w:r>
          </w:p>
          <w:p w14:paraId="1CD23661">
            <w:pPr>
              <w:pStyle w:val="12"/>
            </w:pPr>
          </w:p>
          <w:p w14:paraId="05D3616A">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bCs/>
                <w:kern w:val="0"/>
                <w:sz w:val="21"/>
                <w:szCs w:val="21"/>
              </w:rPr>
              <w:t>备注</w:t>
            </w:r>
            <w:r>
              <w:rPr>
                <w:rFonts w:hint="eastAsia" w:ascii="宋体" w:hAnsi="宋体" w:eastAsia="宋体" w:cs="宋体"/>
                <w:kern w:val="0"/>
                <w:sz w:val="21"/>
                <w:szCs w:val="21"/>
              </w:rPr>
              <w:t>：</w:t>
            </w:r>
          </w:p>
          <w:p w14:paraId="459060AA">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1、投标人须提供上表所列产品，在规定的时间内送至指定地点参与评分。</w:t>
            </w:r>
          </w:p>
          <w:p w14:paraId="422BF8B6">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2、样品与《实质性响应条款偏离表》中对应的投标内容存在不符的，评委会可根据情况视为《实质性响应条款偏离表》填写不实，初审不通过。</w:t>
            </w:r>
          </w:p>
          <w:p w14:paraId="533D9B3A">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3、材料样品将作为履约验收的参考。</w:t>
            </w:r>
          </w:p>
          <w:p w14:paraId="5AFB1D75">
            <w:pPr>
              <w:ind w:firstLine="422" w:firstLineChars="200"/>
              <w:rPr>
                <w:rFonts w:hint="eastAsia" w:asciiTheme="minorEastAsia" w:hAnsiTheme="minorEastAsia" w:eastAsiaTheme="minorEastAsia"/>
                <w:b/>
                <w:szCs w:val="21"/>
              </w:rPr>
            </w:pPr>
          </w:p>
          <w:p w14:paraId="6A1B7185">
            <w:pPr>
              <w:ind w:firstLine="422" w:firstLineChars="200"/>
              <w:rPr>
                <w:rFonts w:asciiTheme="minorEastAsia" w:hAnsiTheme="minorEastAsia" w:eastAsiaTheme="minorEastAsia"/>
                <w:b/>
                <w:szCs w:val="21"/>
                <w:highlight w:val="red"/>
              </w:rPr>
            </w:pPr>
            <w:r>
              <w:rPr>
                <w:rFonts w:hint="eastAsia" w:asciiTheme="minorEastAsia" w:hAnsiTheme="minorEastAsia" w:eastAsiaTheme="minorEastAsia"/>
                <w:b/>
                <w:szCs w:val="21"/>
              </w:rPr>
              <w:t>说明：</w:t>
            </w:r>
            <w:r>
              <w:rPr>
                <w:rFonts w:hint="eastAsia" w:asciiTheme="minorEastAsia" w:hAnsiTheme="minorEastAsia" w:eastAsiaTheme="minorEastAsia"/>
                <w:b/>
                <w:color w:val="auto"/>
                <w:szCs w:val="21"/>
                <w:highlight w:val="none"/>
              </w:rPr>
              <w:t>1、带“</w:t>
            </w:r>
            <w:r>
              <w:rPr>
                <w:rFonts w:asciiTheme="minorEastAsia" w:hAnsiTheme="minorEastAsia" w:eastAsiaTheme="minorEastAsia"/>
                <w:color w:val="auto"/>
                <w:szCs w:val="21"/>
                <w:highlight w:val="none"/>
              </w:rPr>
              <w:t>▲</w:t>
            </w:r>
            <w:r>
              <w:rPr>
                <w:rFonts w:hint="eastAsia" w:asciiTheme="minorEastAsia" w:hAnsiTheme="minorEastAsia" w:eastAsiaTheme="minorEastAsia"/>
                <w:b/>
                <w:color w:val="auto"/>
                <w:szCs w:val="21"/>
                <w:highlight w:val="none"/>
              </w:rPr>
              <w:t xml:space="preserve">”指标项为重要参数，负偏离时依相关评分准则内容作重点扣分处理。 </w:t>
            </w:r>
          </w:p>
          <w:p w14:paraId="313DB0B3">
            <w:pPr>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2、技术要求中，用红色加粗字体标注的技术条款为要求提供证明资料的条款，共</w:t>
            </w: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b/>
                <w:szCs w:val="21"/>
              </w:rPr>
              <w:t>项，其余为未要求提供证明资料的条款，无需提供相关证明资料。</w:t>
            </w:r>
          </w:p>
          <w:p w14:paraId="1E23ED74">
            <w:pPr>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3、评分时，如对一项招标技术要求（以划分框为准）中的内容存在两处（或以上）负偏离的，在评分时只作一项负偏离扣分。</w:t>
            </w:r>
          </w:p>
          <w:tbl>
            <w:tblPr>
              <w:tblStyle w:val="16"/>
              <w:tblpPr w:leftFromText="180" w:rightFromText="180" w:vertAnchor="text" w:horzAnchor="page" w:tblpX="258" w:tblpY="149"/>
              <w:tblOverlap w:val="never"/>
              <w:tblW w:w="8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7093"/>
            </w:tblGrid>
            <w:tr w14:paraId="551DC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326" w:type="dxa"/>
                  <w:tcBorders>
                    <w:top w:val="single" w:color="auto" w:sz="4" w:space="0"/>
                    <w:left w:val="single" w:color="auto" w:sz="4" w:space="0"/>
                    <w:bottom w:val="single" w:color="auto" w:sz="4" w:space="0"/>
                    <w:right w:val="single" w:color="auto" w:sz="4" w:space="0"/>
                  </w:tcBorders>
                  <w:noWrap w:val="0"/>
                  <w:vAlign w:val="center"/>
                </w:tcPr>
                <w:p w14:paraId="32778D00">
                  <w:pPr>
                    <w:widowControl/>
                    <w:spacing w:before="100" w:beforeAutospacing="1" w:after="100" w:afterAutospacing="1"/>
                    <w:jc w:val="center"/>
                    <w:rPr>
                      <w:rFonts w:ascii="宋体" w:hAnsi="宋体" w:cs="宋体"/>
                      <w:color w:val="auto"/>
                      <w:kern w:val="0"/>
                      <w:sz w:val="24"/>
                      <w:szCs w:val="24"/>
                      <w:highlight w:val="yellow"/>
                    </w:rPr>
                  </w:pPr>
                  <w:r>
                    <w:rPr>
                      <w:rFonts w:hint="eastAsia" w:cs="宋体"/>
                      <w:color w:val="auto"/>
                      <w:kern w:val="0"/>
                      <w:sz w:val="24"/>
                      <w:szCs w:val="21"/>
                      <w:highlight w:val="yellow"/>
                      <w:lang w:eastAsia="zh-CN"/>
                    </w:rPr>
                    <w:t>设备</w:t>
                  </w:r>
                  <w:r>
                    <w:rPr>
                      <w:rFonts w:hint="eastAsia" w:cs="宋体"/>
                      <w:color w:val="auto"/>
                      <w:kern w:val="0"/>
                      <w:sz w:val="24"/>
                      <w:szCs w:val="21"/>
                      <w:highlight w:val="yellow"/>
                    </w:rPr>
                    <w:t>名称</w:t>
                  </w:r>
                </w:p>
              </w:tc>
              <w:tc>
                <w:tcPr>
                  <w:tcW w:w="7093" w:type="dxa"/>
                  <w:tcBorders>
                    <w:top w:val="single" w:color="auto" w:sz="4" w:space="0"/>
                    <w:left w:val="single" w:color="auto" w:sz="4" w:space="0"/>
                    <w:bottom w:val="single" w:color="auto" w:sz="4" w:space="0"/>
                    <w:right w:val="single" w:color="auto" w:sz="4" w:space="0"/>
                  </w:tcBorders>
                  <w:noWrap w:val="0"/>
                  <w:vAlign w:val="center"/>
                </w:tcPr>
                <w:p w14:paraId="2C37FBE7">
                  <w:pPr>
                    <w:widowControl/>
                    <w:spacing w:before="100" w:beforeAutospacing="1" w:after="100" w:afterAutospacing="1"/>
                    <w:jc w:val="center"/>
                    <w:rPr>
                      <w:rFonts w:ascii="宋体" w:hAnsi="宋体" w:cs="宋体"/>
                      <w:color w:val="auto"/>
                      <w:kern w:val="0"/>
                      <w:sz w:val="24"/>
                      <w:szCs w:val="24"/>
                      <w:highlight w:val="yellow"/>
                    </w:rPr>
                  </w:pPr>
                  <w:r>
                    <w:rPr>
                      <w:rFonts w:hint="eastAsia" w:cs="宋体"/>
                      <w:color w:val="auto"/>
                      <w:kern w:val="0"/>
                      <w:sz w:val="24"/>
                      <w:szCs w:val="21"/>
                      <w:highlight w:val="yellow"/>
                    </w:rPr>
                    <w:t>招标技术要求</w:t>
                  </w:r>
                </w:p>
              </w:tc>
            </w:tr>
            <w:tr w14:paraId="5B3F0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tcBorders>
                    <w:top w:val="single" w:color="auto" w:sz="4" w:space="0"/>
                    <w:left w:val="single" w:color="auto" w:sz="4" w:space="0"/>
                    <w:right w:val="single" w:color="auto" w:sz="4" w:space="0"/>
                  </w:tcBorders>
                  <w:noWrap w:val="0"/>
                  <w:vAlign w:val="center"/>
                </w:tcPr>
                <w:p w14:paraId="60E08E8F">
                  <w:pPr>
                    <w:jc w:val="left"/>
                    <w:rPr>
                      <w:rFonts w:ascii="宋体" w:hAnsi="宋体" w:cs="宋体"/>
                      <w:color w:val="auto"/>
                      <w:kern w:val="0"/>
                      <w:szCs w:val="21"/>
                      <w:highlight w:val="yellow"/>
                    </w:rPr>
                  </w:pPr>
                  <w:r>
                    <w:rPr>
                      <w:rFonts w:hint="eastAsia" w:asciiTheme="minorEastAsia" w:hAnsiTheme="minorEastAsia" w:eastAsiaTheme="minorEastAsia"/>
                      <w:color w:val="auto"/>
                      <w:szCs w:val="21"/>
                      <w:highlight w:val="yellow"/>
                    </w:rPr>
                    <w:t>血管内冲击波治疗设备</w:t>
                  </w:r>
                </w:p>
              </w:tc>
              <w:tc>
                <w:tcPr>
                  <w:tcW w:w="7093" w:type="dxa"/>
                  <w:tcBorders>
                    <w:top w:val="single" w:color="auto" w:sz="4" w:space="0"/>
                    <w:left w:val="single" w:color="auto" w:sz="4" w:space="0"/>
                    <w:bottom w:val="single" w:color="auto" w:sz="4" w:space="0"/>
                    <w:right w:val="single" w:color="auto" w:sz="4" w:space="0"/>
                  </w:tcBorders>
                  <w:noWrap w:val="0"/>
                  <w:vAlign w:val="top"/>
                </w:tcPr>
                <w:p w14:paraId="12FAF568">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1 设备用途</w:t>
                  </w:r>
                </w:p>
                <w:p w14:paraId="7A1C092B">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1.1 适用于PCI术中冠脉钙化病变患者，通过冲击波安全高效地处理冠状动脉血管内膜下浅表至深层钙化，恢复血管顺应性</w:t>
                  </w:r>
                </w:p>
                <w:p w14:paraId="1EC4A714">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2 技术参数要求</w:t>
                  </w:r>
                </w:p>
                <w:p w14:paraId="7DC6B92B">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2.1 发射器技术参数</w:t>
                  </w:r>
                </w:p>
                <w:p w14:paraId="6BC2F11A">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2.1.1 发射器驱动通道数：不超过5个</w:t>
                  </w:r>
                </w:p>
                <w:p w14:paraId="77D2F425">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★2.1.2 脉冲电压幅值：≤3000V</w:t>
                  </w:r>
                </w:p>
                <w:p w14:paraId="31A6E4CA">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2.1.3  脉冲释放频率：1Hz</w:t>
                  </w:r>
                </w:p>
                <w:p w14:paraId="7A543B28">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2.1.4 脉冲持续时间：≤50μs</w:t>
                  </w:r>
                </w:p>
                <w:p w14:paraId="14FDFB29">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2.2 冠脉血管内冲击波参数</w:t>
                  </w:r>
                </w:p>
                <w:p w14:paraId="63AB47C9">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2.2.1 治疗周期总数：单根冠脉导管支持≥10个周期</w:t>
                  </w:r>
                </w:p>
                <w:p w14:paraId="30C4B4A2">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 xml:space="preserve">★2.2.2 脉冲释放次数：单根冠脉导管支持≥100次脉冲释放 </w:t>
                  </w:r>
                </w:p>
                <w:p w14:paraId="6B51C809">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2.3 电源及供电方式</w:t>
                  </w:r>
                </w:p>
                <w:p w14:paraId="70F94B94">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3.3.1 供电方式：电池模块供电</w:t>
                  </w:r>
                </w:p>
                <w:p w14:paraId="20601EEC">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2.3.2 电池模块：可充电电池模块，可拆卸替换</w:t>
                  </w:r>
                </w:p>
                <w:p w14:paraId="7B93EAD1">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2.3.3 电池额定容量：≥12Ah</w:t>
                  </w:r>
                </w:p>
                <w:p w14:paraId="535AB4E8">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2.3.4 完全充满电需要时间≤8h</w:t>
                  </w:r>
                </w:p>
                <w:p w14:paraId="32A917E8">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2.4 显示及控制方式</w:t>
                  </w:r>
                </w:p>
                <w:p w14:paraId="374C781A">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★2.4.1 主机屏幕：7寸IPS屏幕</w:t>
                  </w:r>
                </w:p>
                <w:p w14:paraId="3F05E569">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2.4.2 显示方式：彩色提示信息、动态效果显示</w:t>
                  </w:r>
                </w:p>
                <w:p w14:paraId="53D5F5BC">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2.4.3 控制方式：手动控制激发</w:t>
                  </w:r>
                </w:p>
                <w:p w14:paraId="430D9E90">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2.4.4 工作模式：可连续或单独激发</w:t>
                  </w:r>
                </w:p>
                <w:p w14:paraId="6AD9B37D">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2.5 安全参数</w:t>
                  </w:r>
                </w:p>
                <w:p w14:paraId="51A3C071">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2.5.1 自检功能：主机开机后自动启动，完成自检后进入操作主菜单界面</w:t>
                  </w:r>
                </w:p>
                <w:p w14:paraId="08384708">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2.5.2 自动识别：主机能自动识别并显示导管型号规格</w:t>
                  </w:r>
                </w:p>
                <w:p w14:paraId="70017E83">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2.5.3 诊断程序：主机可实时监测系统工作状态，一旦发生异常则停止脉冲释放，并显示相应提示信息</w:t>
                  </w:r>
                </w:p>
                <w:p w14:paraId="3AEFAC93">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2.5.4 阻燃耐热：主机无通气孔的聚合物外壳，使用非氯非溴阻燃、高耐热级UL 94 V-0模具制造</w:t>
                  </w:r>
                </w:p>
                <w:p w14:paraId="06B9550B">
                  <w:pPr>
                    <w:spacing w:line="240" w:lineRule="auto"/>
                    <w:jc w:val="left"/>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yellow"/>
                    </w:rPr>
                    <w:t>2.5.5 主机具备防除颤功能</w:t>
                  </w:r>
                </w:p>
              </w:tc>
            </w:tr>
          </w:tbl>
          <w:p w14:paraId="3921D2D5">
            <w:pPr>
              <w:pStyle w:val="12"/>
            </w:pPr>
          </w:p>
        </w:tc>
      </w:tr>
      <w:tr w14:paraId="0F1CD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426" w:type="dxa"/>
            <w:vAlign w:val="center"/>
          </w:tcPr>
          <w:p w14:paraId="3D05334C">
            <w:pPr>
              <w:jc w:val="center"/>
              <w:rPr>
                <w:rFonts w:cs="宋体" w:asciiTheme="minorEastAsia" w:hAnsiTheme="minorEastAsia" w:eastAsiaTheme="minorEastAsia"/>
                <w:color w:val="000000" w:themeColor="text1"/>
                <w:kern w:val="0"/>
                <w:szCs w:val="21"/>
                <w14:textFill>
                  <w14:solidFill>
                    <w14:schemeClr w14:val="tx1"/>
                  </w14:solidFill>
                </w14:textFill>
              </w:rPr>
            </w:pPr>
            <w:r>
              <w:rPr>
                <w:rFonts w:cs="宋体" w:asciiTheme="minorEastAsia" w:hAnsiTheme="minorEastAsia" w:eastAsiaTheme="minorEastAsia"/>
                <w:kern w:val="0"/>
                <w:szCs w:val="21"/>
              </w:rPr>
              <w:t>商务需求</w:t>
            </w:r>
          </w:p>
        </w:tc>
        <w:tc>
          <w:tcPr>
            <w:tcW w:w="8859" w:type="dxa"/>
            <w:gridSpan w:val="4"/>
          </w:tcPr>
          <w:p w14:paraId="39DDBA5B">
            <w:pPr>
              <w:widowControl/>
              <w:adjustRightInd w:val="0"/>
              <w:snapToGrid w:val="0"/>
              <w:spacing w:line="276" w:lineRule="auto"/>
              <w:jc w:val="left"/>
              <w:outlineLvl w:val="0"/>
              <w:rPr>
                <w:rFonts w:cs="宋体" w:asciiTheme="minorEastAsia" w:hAnsiTheme="minorEastAsia" w:eastAsiaTheme="minorEastAsia"/>
                <w:b/>
                <w:bCs/>
                <w:color w:val="auto"/>
                <w:kern w:val="0"/>
                <w:szCs w:val="21"/>
              </w:rPr>
            </w:pPr>
            <w:r>
              <w:rPr>
                <w:rFonts w:hint="eastAsia" w:cs="宋体" w:asciiTheme="minorEastAsia" w:hAnsiTheme="minorEastAsia" w:eastAsiaTheme="minorEastAsia"/>
                <w:b/>
                <w:bCs/>
                <w:color w:val="auto"/>
                <w:kern w:val="0"/>
                <w:szCs w:val="21"/>
              </w:rPr>
              <w:t>一、报价要求</w:t>
            </w:r>
          </w:p>
          <w:p w14:paraId="66000A25">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A84DB05">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2、投标人的投标报价，应是本项目招标范围和招标文件及合同条款上所列的各项内容中所述的全部，不得以任何理由予以重复，并以投标人在投标文件中提出的综合单价或总价为依据。</w:t>
            </w:r>
          </w:p>
          <w:p w14:paraId="7077ABD7">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2E73B8D9">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4、投标人应充分了解项目的位置、情况、道路及任何其它足以影响投标报价的情况，任何因忽视或误解项目情况而导致的索赔或服务期限延长申请将不获批准。</w:t>
            </w:r>
          </w:p>
          <w:p w14:paraId="2016E54B">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2BEF325F">
            <w:pPr>
              <w:ind w:firstLine="420" w:firstLineChars="200"/>
              <w:rPr>
                <w:rFonts w:hint="eastAsia" w:asciiTheme="minorEastAsia" w:hAnsiTheme="minorEastAsia" w:eastAsiaTheme="minorEastAsia"/>
                <w:color w:val="auto"/>
                <w:szCs w:val="21"/>
              </w:rPr>
            </w:pPr>
            <w:r>
              <w:rPr>
                <w:rFonts w:asciiTheme="minorEastAsia" w:hAnsiTheme="minorEastAsia" w:eastAsiaTheme="minorEastAsia"/>
                <w:color w:val="auto"/>
                <w:szCs w:val="21"/>
              </w:rPr>
              <w:t>6</w:t>
            </w:r>
            <w:r>
              <w:rPr>
                <w:rFonts w:hint="eastAsia" w:asciiTheme="minorEastAsia" w:hAnsiTheme="minorEastAsia" w:eastAsiaTheme="minorEastAsia"/>
                <w:color w:val="auto"/>
                <w:szCs w:val="21"/>
              </w:rPr>
              <w:t>、投标人须考虑本项目在实施期间的一切可能产生的费用。在项目实施过程中，如项目工作范围发生变更，由中标人和采购人双方协商解决；其余情况下，投标总价均不予调整。</w:t>
            </w:r>
          </w:p>
          <w:p w14:paraId="6FD3448E">
            <w:pPr>
              <w:pStyle w:val="7"/>
              <w:rPr>
                <w:color w:val="auto"/>
              </w:rPr>
            </w:pPr>
          </w:p>
          <w:p w14:paraId="302A1F44">
            <w:pPr>
              <w:widowControl/>
              <w:adjustRightInd w:val="0"/>
              <w:snapToGrid w:val="0"/>
              <w:spacing w:line="276" w:lineRule="auto"/>
              <w:jc w:val="left"/>
              <w:outlineLvl w:val="0"/>
              <w:rPr>
                <w:rFonts w:cs="宋体" w:asciiTheme="minorEastAsia" w:hAnsiTheme="minorEastAsia" w:eastAsiaTheme="minorEastAsia"/>
                <w:b/>
                <w:bCs/>
                <w:color w:val="auto"/>
                <w:kern w:val="0"/>
                <w:szCs w:val="21"/>
              </w:rPr>
            </w:pPr>
            <w:r>
              <w:rPr>
                <w:rFonts w:hint="eastAsia" w:cs="宋体" w:asciiTheme="minorEastAsia" w:hAnsiTheme="minorEastAsia" w:eastAsiaTheme="minorEastAsia"/>
                <w:b/>
                <w:bCs/>
                <w:color w:val="auto"/>
                <w:kern w:val="0"/>
                <w:szCs w:val="21"/>
              </w:rPr>
              <w:t>二、招标商务需求</w:t>
            </w:r>
          </w:p>
          <w:tbl>
            <w:tblPr>
              <w:tblStyle w:val="1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583"/>
              <w:gridCol w:w="5830"/>
            </w:tblGrid>
            <w:tr w14:paraId="7EDBA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vAlign w:val="center"/>
                </w:tcPr>
                <w:p w14:paraId="56E7D9AB">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序号</w:t>
                  </w:r>
                </w:p>
              </w:tc>
              <w:tc>
                <w:tcPr>
                  <w:tcW w:w="917" w:type="pct"/>
                  <w:vAlign w:val="center"/>
                </w:tcPr>
                <w:p w14:paraId="245E8B8B">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目录</w:t>
                  </w:r>
                </w:p>
              </w:tc>
              <w:tc>
                <w:tcPr>
                  <w:tcW w:w="3377" w:type="pct"/>
                  <w:vAlign w:val="center"/>
                </w:tcPr>
                <w:p w14:paraId="4293FC7E">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招标商务需求</w:t>
                  </w:r>
                </w:p>
              </w:tc>
            </w:tr>
            <w:tr w14:paraId="55EC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17E85102">
                  <w:pP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（一）免费保修期内售后服务要求</w:t>
                  </w:r>
                </w:p>
              </w:tc>
            </w:tr>
            <w:tr w14:paraId="1924F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9A68A69">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w:t>
                  </w:r>
                </w:p>
              </w:tc>
              <w:tc>
                <w:tcPr>
                  <w:tcW w:w="917" w:type="pct"/>
                </w:tcPr>
                <w:p w14:paraId="6EC44E47">
                  <w:pPr>
                    <w:rPr>
                      <w:rFonts w:asciiTheme="minorEastAsia" w:hAnsiTheme="minorEastAsia" w:eastAsiaTheme="minorEastAsia"/>
                      <w:color w:val="auto"/>
                      <w:szCs w:val="21"/>
                    </w:rPr>
                  </w:pPr>
                  <w:r>
                    <w:rPr>
                      <w:rFonts w:hint="eastAsia" w:asciiTheme="minorEastAsia" w:hAnsiTheme="minorEastAsia" w:eastAsiaTheme="minorEastAsia"/>
                      <w:color w:val="auto"/>
                      <w:szCs w:val="21"/>
                    </w:rPr>
                    <w:t>维修响应及故障解决时间</w:t>
                  </w:r>
                </w:p>
              </w:tc>
              <w:tc>
                <w:tcPr>
                  <w:tcW w:w="3377" w:type="pct"/>
                </w:tcPr>
                <w:p w14:paraId="72227FB3">
                  <w:pPr>
                    <w:rPr>
                      <w:rFonts w:asciiTheme="minorEastAsia" w:hAnsiTheme="minorEastAsia" w:eastAsiaTheme="minorEastAsia"/>
                      <w:b/>
                      <w:color w:val="auto"/>
                      <w:szCs w:val="21"/>
                    </w:rPr>
                  </w:pPr>
                  <w:r>
                    <w:rPr>
                      <w:rFonts w:hint="eastAsia" w:ascii="宋体" w:hAnsi="宋体" w:cs="宋体"/>
                      <w:color w:val="auto"/>
                      <w:szCs w:val="21"/>
                      <w:highlight w:val="none"/>
                    </w:rPr>
                    <w:t>由设备制造商</w:t>
                  </w:r>
                  <w:r>
                    <w:rPr>
                      <w:rFonts w:hint="eastAsia" w:ascii="宋体" w:hAnsi="宋体" w:cs="宋体"/>
                      <w:color w:val="auto"/>
                      <w:szCs w:val="21"/>
                      <w:highlight w:val="none"/>
                      <w:lang w:eastAsia="zh-CN"/>
                    </w:rPr>
                    <w:t>或制造商授权认可的代理商</w:t>
                  </w:r>
                  <w:r>
                    <w:rPr>
                      <w:rFonts w:hint="eastAsia" w:ascii="宋体" w:hAnsi="宋体" w:cs="宋体"/>
                      <w:color w:val="auto"/>
                      <w:szCs w:val="21"/>
                      <w:highlight w:val="none"/>
                    </w:rPr>
                    <w:t>提供售后服务</w:t>
                  </w:r>
                  <w:r>
                    <w:rPr>
                      <w:rFonts w:hint="eastAsia" w:ascii="宋体" w:hAnsi="宋体" w:cs="宋体"/>
                      <w:color w:val="auto"/>
                      <w:szCs w:val="21"/>
                      <w:highlight w:val="none"/>
                      <w:lang w:eastAsia="zh-CN"/>
                    </w:rPr>
                    <w:t>，</w:t>
                  </w:r>
                  <w:r>
                    <w:rPr>
                      <w:rFonts w:hint="eastAsia" w:asciiTheme="minorEastAsia" w:hAnsiTheme="minorEastAsia" w:eastAsiaTheme="minorEastAsia"/>
                      <w:bCs/>
                      <w:color w:val="auto"/>
                      <w:szCs w:val="21"/>
                    </w:rPr>
                    <w:t>在保修期内，一旦发生质量问题，投标人保证在接到通知</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rPr>
                    <w:t xml:space="preserve"> 小时内响应， 24 小时维修到位（不可抗力情况除外）。消耗品和零配件供应及时。</w:t>
                  </w:r>
                </w:p>
              </w:tc>
            </w:tr>
            <w:tr w14:paraId="19933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77FE24B">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2</w:t>
                  </w:r>
                </w:p>
              </w:tc>
              <w:tc>
                <w:tcPr>
                  <w:tcW w:w="917" w:type="pct"/>
                </w:tcPr>
                <w:p w14:paraId="62619A39">
                  <w:pP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关于保修期</w:t>
                  </w:r>
                </w:p>
              </w:tc>
              <w:tc>
                <w:tcPr>
                  <w:tcW w:w="3377" w:type="pct"/>
                </w:tcPr>
                <w:p w14:paraId="0F9F179B">
                  <w:pPr>
                    <w:rPr>
                      <w:rFonts w:asciiTheme="minorEastAsia" w:hAnsiTheme="minorEastAsia" w:eastAsiaTheme="minorEastAsia"/>
                      <w:b/>
                      <w:color w:val="auto"/>
                      <w:szCs w:val="21"/>
                    </w:rPr>
                  </w:pPr>
                  <w:r>
                    <w:rPr>
                      <w:rFonts w:hint="eastAsia" w:cs="宋体" w:asciiTheme="minorEastAsia" w:hAnsiTheme="minorEastAsia" w:eastAsiaTheme="minorEastAsia"/>
                      <w:b/>
                      <w:color w:val="auto"/>
                      <w:szCs w:val="21"/>
                    </w:rPr>
                    <w:t>★</w:t>
                  </w:r>
                  <w:r>
                    <w:rPr>
                      <w:rFonts w:hint="eastAsia" w:asciiTheme="minorEastAsia" w:hAnsiTheme="minorEastAsia" w:eastAsiaTheme="minorEastAsia"/>
                      <w:bCs/>
                      <w:color w:val="auto"/>
                      <w:szCs w:val="21"/>
                    </w:rPr>
                    <w:t>货物免费保修期</w:t>
                  </w:r>
                  <w:r>
                    <w:rPr>
                      <w:rFonts w:hint="eastAsia" w:asciiTheme="minorEastAsia" w:hAnsiTheme="minorEastAsia" w:eastAsiaTheme="minorEastAsia"/>
                      <w:bCs/>
                      <w:color w:val="auto"/>
                      <w:szCs w:val="21"/>
                      <w:highlight w:val="yellow"/>
                      <w:u w:val="single"/>
                    </w:rPr>
                    <w:t xml:space="preserve">  </w:t>
                  </w:r>
                  <w:r>
                    <w:rPr>
                      <w:rFonts w:hint="eastAsia" w:asciiTheme="minorEastAsia" w:hAnsiTheme="minorEastAsia" w:eastAsiaTheme="minorEastAsia"/>
                      <w:bCs/>
                      <w:color w:val="auto"/>
                      <w:szCs w:val="21"/>
                      <w:highlight w:val="yellow"/>
                      <w:u w:val="single"/>
                      <w:lang w:val="en-US" w:eastAsia="zh-CN"/>
                    </w:rPr>
                    <w:t>3</w:t>
                  </w:r>
                  <w:r>
                    <w:rPr>
                      <w:rFonts w:hint="eastAsia" w:asciiTheme="minorEastAsia" w:hAnsiTheme="minorEastAsia" w:eastAsiaTheme="minorEastAsia"/>
                      <w:bCs/>
                      <w:color w:val="auto"/>
                      <w:szCs w:val="21"/>
                      <w:highlight w:val="yellow"/>
                      <w:u w:val="single"/>
                    </w:rPr>
                    <w:t xml:space="preserve">  </w:t>
                  </w:r>
                  <w:r>
                    <w:rPr>
                      <w:rFonts w:hint="eastAsia" w:asciiTheme="minorEastAsia" w:hAnsiTheme="minorEastAsia" w:eastAsiaTheme="minorEastAsia"/>
                      <w:bCs/>
                      <w:color w:val="auto"/>
                      <w:szCs w:val="21"/>
                    </w:rPr>
                    <w:t>年，时间自最终验收合格并交付使用之日起计算。</w:t>
                  </w:r>
                </w:p>
              </w:tc>
            </w:tr>
            <w:tr w14:paraId="1DC5D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D4CA870">
                  <w:pPr>
                    <w:jc w:val="center"/>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3</w:t>
                  </w:r>
                </w:p>
              </w:tc>
              <w:tc>
                <w:tcPr>
                  <w:tcW w:w="917" w:type="pct"/>
                </w:tcPr>
                <w:p w14:paraId="03FD1337">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rPr>
                    <w:t>关于保修期</w:t>
                  </w:r>
                  <w:r>
                    <w:rPr>
                      <w:rFonts w:hint="eastAsia" w:asciiTheme="minorEastAsia" w:hAnsiTheme="minorEastAsia" w:eastAsiaTheme="minorEastAsia"/>
                      <w:color w:val="auto"/>
                      <w:szCs w:val="21"/>
                      <w:lang w:eastAsia="zh-CN"/>
                    </w:rPr>
                    <w:t>内服务</w:t>
                  </w:r>
                </w:p>
              </w:tc>
              <w:tc>
                <w:tcPr>
                  <w:tcW w:w="3377" w:type="pct"/>
                </w:tcPr>
                <w:p w14:paraId="6C5CDE9F">
                  <w:pPr>
                    <w:rPr>
                      <w:rFonts w:asciiTheme="minorEastAsia" w:hAnsiTheme="minorEastAsia" w:eastAsiaTheme="minorEastAsia"/>
                      <w:bCs/>
                      <w:color w:val="auto"/>
                      <w:szCs w:val="21"/>
                    </w:rPr>
                  </w:pPr>
                  <w:r>
                    <w:rPr>
                      <w:rFonts w:hint="eastAsia" w:ascii="宋体" w:hAnsi="宋体" w:eastAsia="宋体" w:cs="宋体"/>
                      <w:color w:val="auto"/>
                      <w:sz w:val="21"/>
                      <w:szCs w:val="21"/>
                    </w:rPr>
                    <w:t xml:space="preserve">保修期内,年度定期预防性维护保养次数应不少于 </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 xml:space="preserve"> 次。保修期内免费更换零配件、免工时费。</w:t>
                  </w:r>
                </w:p>
              </w:tc>
            </w:tr>
            <w:tr w14:paraId="21860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1482B9A3">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4</w:t>
                  </w:r>
                </w:p>
              </w:tc>
              <w:tc>
                <w:tcPr>
                  <w:tcW w:w="917" w:type="pct"/>
                </w:tcPr>
                <w:p w14:paraId="5D263E7A">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关于维修配件及软件升级</w:t>
                  </w:r>
                </w:p>
              </w:tc>
              <w:tc>
                <w:tcPr>
                  <w:tcW w:w="3377" w:type="pct"/>
                </w:tcPr>
                <w:p w14:paraId="1AE02000">
                  <w:pPr>
                    <w:rPr>
                      <w:rFonts w:hint="eastAsia" w:ascii="宋体" w:hAnsi="宋体" w:eastAsia="宋体" w:cs="宋体"/>
                      <w:color w:val="auto"/>
                      <w:sz w:val="21"/>
                      <w:szCs w:val="21"/>
                    </w:rPr>
                  </w:pPr>
                  <w:r>
                    <w:rPr>
                      <w:rFonts w:hint="eastAsia" w:ascii="宋体" w:hAnsi="宋体" w:eastAsia="宋体" w:cs="宋体"/>
                      <w:color w:val="auto"/>
                      <w:sz w:val="21"/>
                      <w:szCs w:val="21"/>
                    </w:rPr>
                    <w:t xml:space="preserve">投标人负责货物的终身维修，保证 </w:t>
                  </w:r>
                  <w:r>
                    <w:rPr>
                      <w:rFonts w:hint="eastAsia" w:ascii="宋体" w:hAnsi="宋体" w:cs="宋体"/>
                      <w:color w:val="auto"/>
                      <w:sz w:val="21"/>
                      <w:szCs w:val="21"/>
                      <w:lang w:val="en-US" w:eastAsia="zh-CN"/>
                    </w:rPr>
                    <w:t>8</w:t>
                  </w:r>
                  <w:r>
                    <w:rPr>
                      <w:rFonts w:hint="eastAsia" w:ascii="宋体" w:hAnsi="宋体" w:eastAsia="宋体" w:cs="宋体"/>
                      <w:color w:val="auto"/>
                      <w:sz w:val="21"/>
                      <w:szCs w:val="21"/>
                    </w:rPr>
                    <w:t xml:space="preserve"> 年以上供应维修配件， 5 年内免费提供软件升级服务。</w:t>
                  </w:r>
                </w:p>
              </w:tc>
            </w:tr>
            <w:tr w14:paraId="757D8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09D78F3">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5</w:t>
                  </w:r>
                </w:p>
              </w:tc>
              <w:tc>
                <w:tcPr>
                  <w:tcW w:w="917" w:type="pct"/>
                </w:tcPr>
                <w:p w14:paraId="4D9D99A9">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关于设备设计使用年限</w:t>
                  </w:r>
                </w:p>
              </w:tc>
              <w:tc>
                <w:tcPr>
                  <w:tcW w:w="3377" w:type="pct"/>
                </w:tcPr>
                <w:p w14:paraId="34FF686F">
                  <w:pPr>
                    <w:rPr>
                      <w:rFonts w:hint="eastAsia" w:ascii="宋体" w:hAnsi="宋体" w:eastAsia="宋体" w:cs="宋体"/>
                      <w:color w:val="auto"/>
                      <w:sz w:val="21"/>
                      <w:szCs w:val="21"/>
                    </w:rPr>
                  </w:pPr>
                  <w:r>
                    <w:rPr>
                      <w:rFonts w:hint="eastAsia" w:cs="宋体" w:asciiTheme="minorEastAsia" w:hAnsiTheme="minorEastAsia" w:eastAsiaTheme="minorEastAsia"/>
                      <w:b/>
                      <w:color w:val="auto"/>
                      <w:szCs w:val="21"/>
                    </w:rPr>
                    <w:t>★</w:t>
                  </w:r>
                  <w:r>
                    <w:rPr>
                      <w:rFonts w:hint="eastAsia" w:ascii="宋体" w:hAnsi="宋体" w:cs="宋体"/>
                      <w:color w:val="auto"/>
                      <w:szCs w:val="21"/>
                    </w:rPr>
                    <w:t>投标人提供的仪器设备的设计使用年限≥5年。</w:t>
                  </w:r>
                  <w:r>
                    <w:rPr>
                      <w:rFonts w:hint="eastAsia" w:ascii="宋体" w:hAnsi="宋体" w:cs="宋体"/>
                      <w:b/>
                      <w:bCs/>
                      <w:color w:val="auto"/>
                      <w:szCs w:val="21"/>
                    </w:rPr>
                    <w:t>【设计年限需提供设备说明书或由厂家盖章的说明函进行佐证（格式自拟）】</w:t>
                  </w:r>
                </w:p>
              </w:tc>
            </w:tr>
            <w:tr w14:paraId="314C2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7F664A37">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6</w:t>
                  </w:r>
                </w:p>
              </w:tc>
              <w:tc>
                <w:tcPr>
                  <w:tcW w:w="917" w:type="pct"/>
                </w:tcPr>
                <w:p w14:paraId="47561368">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关于设备生产日期</w:t>
                  </w:r>
                </w:p>
              </w:tc>
              <w:tc>
                <w:tcPr>
                  <w:tcW w:w="3377" w:type="pct"/>
                </w:tcPr>
                <w:p w14:paraId="77DFAC17">
                  <w:pPr>
                    <w:rPr>
                      <w:rFonts w:hint="eastAsia" w:ascii="宋体" w:hAnsi="宋体" w:cs="宋体"/>
                      <w:color w:val="auto"/>
                      <w:szCs w:val="21"/>
                    </w:rPr>
                  </w:pPr>
                  <w:r>
                    <w:rPr>
                      <w:rFonts w:hint="eastAsia" w:cs="宋体" w:asciiTheme="minorEastAsia" w:hAnsiTheme="minorEastAsia" w:eastAsiaTheme="minorEastAsia"/>
                      <w:b/>
                      <w:color w:val="auto"/>
                      <w:szCs w:val="21"/>
                    </w:rPr>
                    <w:t>★</w:t>
                  </w:r>
                  <w:r>
                    <w:rPr>
                      <w:rFonts w:hint="eastAsia" w:ascii="宋体" w:hAnsi="宋体" w:cs="宋体"/>
                      <w:color w:val="auto"/>
                      <w:szCs w:val="21"/>
                    </w:rPr>
                    <w:t>投标人提供的仪器设备的生产日期必须在一年半内生产【</w:t>
                  </w:r>
                  <w:r>
                    <w:rPr>
                      <w:rFonts w:hint="eastAsia" w:ascii="宋体" w:hAnsi="宋体" w:cs="宋体"/>
                      <w:b/>
                      <w:bCs/>
                      <w:color w:val="auto"/>
                      <w:szCs w:val="21"/>
                    </w:rPr>
                    <w:t>生产日期需提供承诺书（格式自拟）</w:t>
                  </w:r>
                  <w:r>
                    <w:rPr>
                      <w:rFonts w:hint="eastAsia" w:ascii="宋体" w:hAnsi="宋体" w:cs="宋体"/>
                      <w:color w:val="auto"/>
                      <w:szCs w:val="21"/>
                    </w:rPr>
                    <w:t>】</w:t>
                  </w:r>
                </w:p>
              </w:tc>
            </w:tr>
            <w:tr w14:paraId="1F341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705" w:type="pct"/>
                  <w:vAlign w:val="center"/>
                </w:tcPr>
                <w:p w14:paraId="0305792D">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7</w:t>
                  </w:r>
                </w:p>
              </w:tc>
              <w:tc>
                <w:tcPr>
                  <w:tcW w:w="917" w:type="pct"/>
                </w:tcPr>
                <w:p w14:paraId="20765B2D">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关于配套试剂及耗材</w:t>
                  </w:r>
                </w:p>
              </w:tc>
              <w:tc>
                <w:tcPr>
                  <w:tcW w:w="3377" w:type="pct"/>
                </w:tcPr>
                <w:p w14:paraId="728EC7E2">
                  <w:pPr>
                    <w:rPr>
                      <w:rFonts w:hint="eastAsia" w:ascii="宋体" w:hAnsi="宋体" w:cs="宋体"/>
                      <w:color w:val="auto"/>
                      <w:szCs w:val="21"/>
                    </w:rPr>
                  </w:pPr>
                  <w:r>
                    <w:rPr>
                      <w:rFonts w:hint="eastAsia" w:ascii="宋体" w:hAnsi="宋体" w:eastAsia="宋体" w:cs="宋体"/>
                      <w:b w:val="0"/>
                      <w:bCs/>
                      <w:color w:val="auto"/>
                      <w:sz w:val="21"/>
                      <w:szCs w:val="21"/>
                      <w:highlight w:val="none"/>
                    </w:rPr>
                    <w:t>★承诺</w:t>
                  </w:r>
                  <w:r>
                    <w:rPr>
                      <w:rFonts w:hint="eastAsia" w:ascii="宋体" w:hAnsi="宋体" w:eastAsia="宋体" w:cs="宋体"/>
                      <w:b w:val="0"/>
                      <w:bCs/>
                      <w:color w:val="auto"/>
                      <w:sz w:val="21"/>
                      <w:szCs w:val="21"/>
                      <w:highlight w:val="none"/>
                      <w:lang w:eastAsia="zh-CN"/>
                    </w:rPr>
                    <w:t>可</w:t>
                  </w:r>
                  <w:r>
                    <w:rPr>
                      <w:rFonts w:hint="eastAsia" w:ascii="宋体" w:hAnsi="宋体" w:eastAsia="宋体" w:cs="宋体"/>
                      <w:b w:val="0"/>
                      <w:bCs/>
                      <w:color w:val="auto"/>
                      <w:sz w:val="21"/>
                      <w:szCs w:val="21"/>
                      <w:highlight w:val="none"/>
                    </w:rPr>
                    <w:t>在深圳医用耗材阳光交易和监管平台上采购仪器配套封闭试剂及耗材，</w:t>
                  </w:r>
                  <w:r>
                    <w:rPr>
                      <w:rFonts w:hint="eastAsia" w:ascii="宋体" w:hAnsi="宋体" w:eastAsia="宋体" w:cs="宋体"/>
                      <w:sz w:val="21"/>
                      <w:szCs w:val="21"/>
                    </w:rPr>
                    <w:t>阳光采购平台上注册为限价目录产品</w:t>
                  </w:r>
                  <w:r>
                    <w:rPr>
                      <w:rFonts w:hint="eastAsia" w:ascii="宋体" w:hAnsi="宋体" w:eastAsia="宋体" w:cs="宋体"/>
                      <w:sz w:val="21"/>
                      <w:szCs w:val="21"/>
                      <w:lang w:eastAsia="zh-CN"/>
                    </w:rPr>
                    <w:t>，</w:t>
                  </w:r>
                  <w:r>
                    <w:rPr>
                      <w:rFonts w:hint="eastAsia" w:ascii="宋体" w:hAnsi="宋体" w:eastAsia="宋体" w:cs="宋体"/>
                      <w:b w:val="0"/>
                      <w:bCs/>
                      <w:color w:val="auto"/>
                      <w:sz w:val="21"/>
                      <w:szCs w:val="21"/>
                      <w:highlight w:val="none"/>
                    </w:rPr>
                    <w:t>并承诺提供深圳市内最低供货价</w:t>
                  </w:r>
                  <w:r>
                    <w:rPr>
                      <w:rFonts w:hint="eastAsia" w:ascii="宋体" w:hAnsi="宋体" w:eastAsia="宋体" w:cs="宋体"/>
                      <w:b/>
                      <w:bCs w:val="0"/>
                      <w:color w:val="auto"/>
                      <w:sz w:val="21"/>
                      <w:szCs w:val="21"/>
                      <w:highlight w:val="none"/>
                    </w:rPr>
                    <w:t>（提供承诺函，承诺函格式自定）。</w:t>
                  </w:r>
                </w:p>
              </w:tc>
            </w:tr>
            <w:tr w14:paraId="0B3A8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6CE10008">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8</w:t>
                  </w:r>
                </w:p>
              </w:tc>
              <w:tc>
                <w:tcPr>
                  <w:tcW w:w="917" w:type="pct"/>
                </w:tcPr>
                <w:p w14:paraId="7066CD82">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w:t>
                  </w:r>
                  <w:r>
                    <w:rPr>
                      <w:rFonts w:hint="eastAsia" w:ascii="宋体" w:hAnsi="宋体" w:cs="宋体"/>
                      <w:bCs/>
                      <w:color w:val="auto"/>
                      <w:szCs w:val="21"/>
                      <w:highlight w:val="none"/>
                    </w:rPr>
                    <w:t>零配件、消耗品和延续保修</w:t>
                  </w:r>
                </w:p>
              </w:tc>
              <w:tc>
                <w:tcPr>
                  <w:tcW w:w="3377" w:type="pct"/>
                </w:tcPr>
                <w:p w14:paraId="230CF6EB">
                  <w:pPr>
                    <w:rPr>
                      <w:rFonts w:hint="eastAsia" w:ascii="宋体" w:hAnsi="宋体" w:cs="宋体"/>
                      <w:b/>
                      <w:bCs/>
                      <w:color w:val="auto"/>
                      <w:highlight w:val="none"/>
                    </w:rPr>
                  </w:pPr>
                  <w:r>
                    <w:rPr>
                      <w:rFonts w:hint="eastAsia" w:ascii="宋体" w:hAnsi="宋体" w:cs="宋体"/>
                      <w:bCs/>
                      <w:color w:val="auto"/>
                      <w:szCs w:val="21"/>
                      <w:highlight w:val="none"/>
                    </w:rPr>
                    <w:t>投标人应</w:t>
                  </w:r>
                  <w:r>
                    <w:rPr>
                      <w:rFonts w:hint="eastAsia" w:ascii="宋体" w:hAnsi="宋体" w:cs="宋体"/>
                      <w:bCs/>
                      <w:color w:val="auto"/>
                      <w:szCs w:val="21"/>
                      <w:highlight w:val="none"/>
                      <w:lang w:eastAsia="zh-CN"/>
                    </w:rPr>
                    <w:t>提供</w:t>
                  </w:r>
                  <w:r>
                    <w:rPr>
                      <w:rFonts w:hint="eastAsia" w:ascii="宋体" w:hAnsi="宋体" w:cs="宋体"/>
                      <w:bCs/>
                      <w:color w:val="auto"/>
                      <w:szCs w:val="21"/>
                      <w:highlight w:val="none"/>
                    </w:rPr>
                    <w:t>维修零配件、消耗品和延续保修</w:t>
                  </w:r>
                  <w:r>
                    <w:rPr>
                      <w:rFonts w:hint="eastAsia" w:ascii="宋体" w:hAnsi="宋体" w:cs="宋体"/>
                      <w:bCs/>
                      <w:color w:val="auto"/>
                      <w:szCs w:val="21"/>
                      <w:highlight w:val="none"/>
                      <w:lang w:eastAsia="zh-CN"/>
                    </w:rPr>
                    <w:t>的报价单</w:t>
                  </w:r>
                  <w:r>
                    <w:rPr>
                      <w:rFonts w:hint="eastAsia" w:ascii="宋体" w:hAnsi="宋体" w:cs="宋体"/>
                      <w:bCs/>
                      <w:color w:val="auto"/>
                      <w:szCs w:val="21"/>
                      <w:highlight w:val="none"/>
                    </w:rPr>
                    <w:t>。价格最高的前</w:t>
                  </w:r>
                  <w:r>
                    <w:rPr>
                      <w:rFonts w:hint="eastAsia" w:ascii="宋体" w:hAnsi="宋体" w:cs="宋体"/>
                      <w:bCs/>
                      <w:color w:val="auto"/>
                      <w:szCs w:val="21"/>
                      <w:highlight w:val="none"/>
                      <w:u w:val="single"/>
                    </w:rPr>
                    <w:t xml:space="preserve"> 5</w:t>
                  </w:r>
                  <w:r>
                    <w:rPr>
                      <w:rFonts w:hint="eastAsia" w:ascii="宋体" w:hAnsi="宋体" w:cs="宋体"/>
                      <w:bCs/>
                      <w:color w:val="auto"/>
                      <w:szCs w:val="21"/>
                      <w:highlight w:val="none"/>
                    </w:rPr>
                    <w:t>项零配件、消耗品和延续保修的报价明细必须填写于《零配件、消耗品和延续保修报价明细清单》中</w:t>
                  </w:r>
                  <w:r>
                    <w:rPr>
                      <w:rFonts w:hint="eastAsia" w:ascii="宋体" w:hAnsi="宋体" w:cs="宋体"/>
                      <w:bCs/>
                      <w:color w:val="auto"/>
                      <w:szCs w:val="21"/>
                      <w:highlight w:val="none"/>
                      <w:lang w:eastAsia="zh-CN"/>
                    </w:rPr>
                    <w:t>（清单格式自拟）</w:t>
                  </w:r>
                  <w:r>
                    <w:rPr>
                      <w:rFonts w:hint="eastAsia" w:ascii="宋体" w:hAnsi="宋体" w:cs="宋体"/>
                      <w:bCs/>
                      <w:color w:val="auto"/>
                      <w:szCs w:val="21"/>
                      <w:highlight w:val="none"/>
                    </w:rPr>
                    <w:t>。</w:t>
                  </w:r>
                </w:p>
              </w:tc>
            </w:tr>
            <w:tr w14:paraId="52DFA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0DA024DF">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9</w:t>
                  </w:r>
                </w:p>
              </w:tc>
              <w:tc>
                <w:tcPr>
                  <w:tcW w:w="917" w:type="pct"/>
                </w:tcPr>
                <w:p w14:paraId="65261C5F">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关于设备开机率</w:t>
                  </w:r>
                </w:p>
              </w:tc>
              <w:tc>
                <w:tcPr>
                  <w:tcW w:w="3377" w:type="pct"/>
                </w:tcPr>
                <w:p w14:paraId="2D953BD5">
                  <w:pPr>
                    <w:spacing w:line="360" w:lineRule="auto"/>
                    <w:rPr>
                      <w:rFonts w:ascii="宋体" w:hAnsi="宋体" w:cs="宋体"/>
                      <w:bCs/>
                      <w:color w:val="auto"/>
                      <w:szCs w:val="21"/>
                      <w:highlight w:val="none"/>
                    </w:rPr>
                  </w:pPr>
                  <w:r>
                    <w:rPr>
                      <w:rFonts w:hint="eastAsia" w:ascii="宋体" w:hAnsi="宋体" w:cs="宋体"/>
                      <w:bCs/>
                      <w:color w:val="auto"/>
                      <w:szCs w:val="21"/>
                      <w:highlight w:val="none"/>
                    </w:rPr>
                    <w:t>在保修期内, 投标人应确保年开机率在95%</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lang w:val="en-US" w:eastAsia="zh-CN"/>
                    </w:rPr>
                    <w:t>含</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以上, 若不能达到此开机率，将作以下处理：</w:t>
                  </w:r>
                </w:p>
                <w:p w14:paraId="441BF8A8">
                  <w:pPr>
                    <w:spacing w:line="360" w:lineRule="auto"/>
                    <w:ind w:left="420" w:leftChars="200"/>
                    <w:rPr>
                      <w:rFonts w:ascii="宋体" w:hAnsi="宋体" w:cs="宋体"/>
                      <w:bCs/>
                      <w:color w:val="auto"/>
                      <w:szCs w:val="21"/>
                      <w:highlight w:val="none"/>
                    </w:rPr>
                  </w:pPr>
                  <w:r>
                    <w:rPr>
                      <w:rFonts w:hint="eastAsia" w:ascii="宋体" w:hAnsi="宋体" w:cs="宋体"/>
                      <w:bCs/>
                      <w:color w:val="auto"/>
                      <w:szCs w:val="21"/>
                      <w:highlight w:val="none"/>
                    </w:rPr>
                    <w:t>A</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年开机率在90（含）-95%（不含）之间按一赔</w:t>
                  </w:r>
                  <w:r>
                    <w:rPr>
                      <w:rFonts w:hint="eastAsia" w:ascii="宋体" w:hAnsi="宋体" w:cs="宋体"/>
                      <w:bCs/>
                      <w:color w:val="auto"/>
                      <w:szCs w:val="21"/>
                      <w:highlight w:val="none"/>
                      <w:u w:val="single"/>
                    </w:rPr>
                    <w:t xml:space="preserve"> 二 </w:t>
                  </w:r>
                  <w:r>
                    <w:rPr>
                      <w:rFonts w:hint="eastAsia" w:ascii="宋体" w:hAnsi="宋体" w:cs="宋体"/>
                      <w:bCs/>
                      <w:color w:val="auto"/>
                      <w:szCs w:val="21"/>
                      <w:highlight w:val="none"/>
                    </w:rPr>
                    <w:t>延长保修期.</w:t>
                  </w:r>
                </w:p>
                <w:p w14:paraId="0EA1A3EC">
                  <w:pPr>
                    <w:spacing w:line="360" w:lineRule="auto"/>
                    <w:ind w:left="420" w:leftChars="200"/>
                    <w:rPr>
                      <w:rFonts w:ascii="宋体" w:hAnsi="宋体" w:cs="宋体"/>
                      <w:bCs/>
                      <w:color w:val="auto"/>
                      <w:szCs w:val="21"/>
                      <w:highlight w:val="none"/>
                    </w:rPr>
                  </w:pPr>
                  <w:r>
                    <w:rPr>
                      <w:rFonts w:hint="eastAsia" w:ascii="宋体" w:hAnsi="宋体" w:cs="宋体"/>
                      <w:bCs/>
                      <w:color w:val="auto"/>
                      <w:szCs w:val="21"/>
                      <w:highlight w:val="none"/>
                    </w:rPr>
                    <w:t>B</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年开机率在85（含）-90%（不含）之间按一赔</w:t>
                  </w:r>
                  <w:r>
                    <w:rPr>
                      <w:rFonts w:hint="eastAsia" w:ascii="宋体" w:hAnsi="宋体" w:cs="宋体"/>
                      <w:bCs/>
                      <w:color w:val="auto"/>
                      <w:szCs w:val="21"/>
                      <w:highlight w:val="none"/>
                      <w:u w:val="single"/>
                    </w:rPr>
                    <w:t xml:space="preserve"> 五 </w:t>
                  </w:r>
                  <w:r>
                    <w:rPr>
                      <w:rFonts w:hint="eastAsia" w:ascii="宋体" w:hAnsi="宋体" w:cs="宋体"/>
                      <w:bCs/>
                      <w:color w:val="auto"/>
                      <w:szCs w:val="21"/>
                      <w:highlight w:val="none"/>
                    </w:rPr>
                    <w:t>延长保修期</w:t>
                  </w:r>
                </w:p>
                <w:p w14:paraId="2223D81D">
                  <w:pPr>
                    <w:spacing w:line="360" w:lineRule="auto"/>
                    <w:ind w:left="735" w:leftChars="200" w:hanging="315" w:hangingChars="150"/>
                    <w:rPr>
                      <w:rFonts w:ascii="宋体" w:hAnsi="宋体" w:cs="宋体"/>
                      <w:bCs/>
                      <w:color w:val="auto"/>
                      <w:szCs w:val="21"/>
                      <w:highlight w:val="none"/>
                    </w:rPr>
                  </w:pPr>
                  <w:r>
                    <w:rPr>
                      <w:rFonts w:hint="eastAsia" w:ascii="宋体" w:hAnsi="宋体" w:cs="宋体"/>
                      <w:bCs/>
                      <w:color w:val="auto"/>
                      <w:szCs w:val="21"/>
                      <w:highlight w:val="none"/>
                    </w:rPr>
                    <w:t>C</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年开机率低于85%（</w:t>
                  </w:r>
                  <w:r>
                    <w:rPr>
                      <w:rFonts w:hint="eastAsia" w:ascii="宋体" w:hAnsi="宋体" w:cs="宋体"/>
                      <w:bCs/>
                      <w:color w:val="auto"/>
                      <w:szCs w:val="21"/>
                      <w:highlight w:val="none"/>
                      <w:lang w:val="en-US" w:eastAsia="zh-CN"/>
                    </w:rPr>
                    <w:t>不</w:t>
                  </w:r>
                  <w:r>
                    <w:rPr>
                      <w:rFonts w:hint="eastAsia" w:ascii="宋体" w:hAnsi="宋体" w:cs="宋体"/>
                      <w:bCs/>
                      <w:color w:val="auto"/>
                      <w:szCs w:val="21"/>
                      <w:highlight w:val="none"/>
                    </w:rPr>
                    <w:t>含），投标人须无条件更换新机，并重新计算保修期，以及赔偿用户的直接经济损失和间接经济损失。</w:t>
                  </w:r>
                </w:p>
                <w:p w14:paraId="1159FCBC">
                  <w:pPr>
                    <w:rPr>
                      <w:rFonts w:hint="eastAsia" w:ascii="宋体" w:hAnsi="宋体" w:cs="宋体"/>
                      <w:color w:val="auto"/>
                      <w:szCs w:val="21"/>
                    </w:rPr>
                  </w:pPr>
                  <w:r>
                    <w:rPr>
                      <w:rFonts w:hint="eastAsia" w:ascii="宋体" w:hAnsi="宋体" w:cs="宋体"/>
                      <w:b/>
                      <w:bCs/>
                      <w:color w:val="auto"/>
                      <w:sz w:val="21"/>
                      <w:szCs w:val="21"/>
                      <w:highlight w:val="none"/>
                    </w:rPr>
                    <w:t>注：</w:t>
                  </w:r>
                  <w:r>
                    <w:rPr>
                      <w:rFonts w:hint="eastAsia" w:ascii="宋体" w:hAnsi="宋体" w:cs="宋体"/>
                      <w:bCs/>
                      <w:color w:val="auto"/>
                      <w:sz w:val="21"/>
                      <w:szCs w:val="21"/>
                      <w:highlight w:val="none"/>
                    </w:rPr>
                    <w:t>年开机率</w:t>
                  </w:r>
                  <w:r>
                    <w:rPr>
                      <w:rFonts w:hint="eastAsia" w:ascii="宋体" w:hAnsi="宋体" w:cs="宋体"/>
                      <w:bCs/>
                      <w:color w:val="auto"/>
                      <w:sz w:val="21"/>
                      <w:szCs w:val="21"/>
                      <w:highlight w:val="none"/>
                      <w:lang w:val="en-US" w:eastAsia="zh-CN"/>
                    </w:rPr>
                    <w:t>=</w:t>
                  </w:r>
                  <w:r>
                    <w:rPr>
                      <w:rFonts w:hint="eastAsia" w:ascii="宋体" w:hAnsi="宋体" w:cs="宋体"/>
                      <w:bCs/>
                      <w:color w:val="auto"/>
                      <w:sz w:val="21"/>
                      <w:szCs w:val="21"/>
                      <w:highlight w:val="none"/>
                    </w:rPr>
                    <w:t>（实际开机天数/</w:t>
                  </w:r>
                  <w:r>
                    <w:rPr>
                      <w:rFonts w:hint="eastAsia"/>
                      <w:color w:val="auto"/>
                      <w:highlight w:val="none"/>
                      <w:lang w:val="en-US" w:eastAsia="zh-CN"/>
                    </w:rPr>
                    <w:t>365天</w:t>
                  </w:r>
                  <w:r>
                    <w:rPr>
                      <w:rFonts w:hint="eastAsia" w:ascii="宋体" w:hAnsi="宋体" w:cs="宋体"/>
                      <w:bCs/>
                      <w:color w:val="auto"/>
                      <w:sz w:val="21"/>
                      <w:szCs w:val="21"/>
                      <w:highlight w:val="none"/>
                    </w:rPr>
                    <w:t>*100%）</w:t>
                  </w:r>
                </w:p>
              </w:tc>
            </w:tr>
            <w:tr w14:paraId="0D0D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05" w:type="pct"/>
                  <w:vAlign w:val="center"/>
                </w:tcPr>
                <w:p w14:paraId="36F51613">
                  <w:pPr>
                    <w:jc w:val="center"/>
                    <w:rPr>
                      <w:rFonts w:hint="default" w:asciiTheme="minorEastAsia" w:hAnsiTheme="minorEastAsia" w:eastAsiaTheme="minorEastAsia"/>
                      <w:b/>
                      <w:color w:val="auto"/>
                      <w:szCs w:val="21"/>
                      <w:lang w:val="en-US" w:eastAsia="zh-CN"/>
                    </w:rPr>
                  </w:pPr>
                  <w:r>
                    <w:rPr>
                      <w:rFonts w:hint="eastAsia" w:asciiTheme="minorEastAsia" w:hAnsiTheme="minorEastAsia" w:eastAsiaTheme="minorEastAsia"/>
                      <w:b/>
                      <w:color w:val="auto"/>
                      <w:szCs w:val="21"/>
                      <w:lang w:val="en-US" w:eastAsia="zh-CN"/>
                    </w:rPr>
                    <w:t>10</w:t>
                  </w:r>
                </w:p>
              </w:tc>
              <w:tc>
                <w:tcPr>
                  <w:tcW w:w="917" w:type="pct"/>
                  <w:vAlign w:val="center"/>
                </w:tcPr>
                <w:p w14:paraId="22905978">
                  <w:pPr>
                    <w:rPr>
                      <w:rFonts w:asciiTheme="minorEastAsia" w:hAnsiTheme="minorEastAsia" w:eastAsiaTheme="minorEastAsia"/>
                      <w:b/>
                      <w:color w:val="auto"/>
                      <w:szCs w:val="21"/>
                    </w:rPr>
                  </w:pPr>
                  <w:r>
                    <w:rPr>
                      <w:rFonts w:hint="eastAsia" w:asciiTheme="minorEastAsia" w:hAnsiTheme="minorEastAsia" w:eastAsiaTheme="minorEastAsia"/>
                      <w:color w:val="auto"/>
                      <w:szCs w:val="21"/>
                    </w:rPr>
                    <w:t>其他</w:t>
                  </w:r>
                </w:p>
              </w:tc>
              <w:tc>
                <w:tcPr>
                  <w:tcW w:w="3377" w:type="pct"/>
                  <w:vAlign w:val="center"/>
                </w:tcPr>
                <w:p w14:paraId="222A2E9B">
                  <w:pPr>
                    <w:rPr>
                      <w:rFonts w:asciiTheme="minorEastAsia" w:hAnsiTheme="minorEastAsia" w:eastAsiaTheme="minorEastAsia"/>
                      <w:b/>
                      <w:color w:val="auto"/>
                      <w:szCs w:val="21"/>
                    </w:rPr>
                  </w:pPr>
                  <w:r>
                    <w:rPr>
                      <w:rFonts w:hint="eastAsia" w:asciiTheme="minorEastAsia" w:hAnsiTheme="minorEastAsia" w:eastAsiaTheme="minorEastAsia"/>
                      <w:bCs/>
                      <w:color w:val="auto"/>
                      <w:szCs w:val="21"/>
                    </w:rPr>
                    <w:t>投标人应按其投标文件中的承诺，进行其他售后服务工作。</w:t>
                  </w:r>
                </w:p>
              </w:tc>
            </w:tr>
            <w:tr w14:paraId="71C21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481B76E0">
                  <w:pP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（二）免费保修期外售后服务要求</w:t>
                  </w:r>
                </w:p>
              </w:tc>
            </w:tr>
            <w:tr w14:paraId="6AB24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E2A6170">
                  <w:pPr>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w:t>
                  </w:r>
                </w:p>
              </w:tc>
              <w:tc>
                <w:tcPr>
                  <w:tcW w:w="917" w:type="pct"/>
                </w:tcPr>
                <w:p w14:paraId="25042EEA">
                  <w:pPr>
                    <w:rPr>
                      <w:rFonts w:asciiTheme="minorEastAsia" w:hAnsiTheme="minorEastAsia" w:eastAsiaTheme="minorEastAsia"/>
                      <w:b/>
                      <w:color w:val="auto"/>
                      <w:szCs w:val="21"/>
                      <w:highlight w:val="none"/>
                    </w:rPr>
                  </w:pPr>
                </w:p>
              </w:tc>
              <w:tc>
                <w:tcPr>
                  <w:tcW w:w="3377" w:type="pct"/>
                </w:tcPr>
                <w:p w14:paraId="2603B32A">
                  <w:pPr>
                    <w:rPr>
                      <w:rFonts w:hint="eastAsia" w:eastAsia="宋体" w:asciiTheme="minorEastAsia" w:hAnsiTheme="minorEastAsia"/>
                      <w:b/>
                      <w:color w:val="auto"/>
                      <w:szCs w:val="21"/>
                      <w:highlight w:val="none"/>
                      <w:lang w:eastAsia="zh-CN"/>
                    </w:rPr>
                  </w:pPr>
                  <w:r>
                    <w:rPr>
                      <w:rFonts w:hint="eastAsia" w:ascii="宋体" w:hAnsi="宋体" w:cs="宋体"/>
                      <w:color w:val="auto"/>
                      <w:szCs w:val="21"/>
                      <w:highlight w:val="none"/>
                    </w:rPr>
                    <w:t>由设备制造商</w:t>
                  </w:r>
                  <w:r>
                    <w:rPr>
                      <w:rFonts w:hint="eastAsia" w:ascii="宋体" w:hAnsi="宋体" w:cs="宋体"/>
                      <w:color w:val="auto"/>
                      <w:szCs w:val="21"/>
                      <w:highlight w:val="none"/>
                      <w:lang w:eastAsia="zh-CN"/>
                    </w:rPr>
                    <w:t>或制造商授权认可的代理商</w:t>
                  </w:r>
                  <w:r>
                    <w:rPr>
                      <w:rFonts w:hint="eastAsia" w:ascii="宋体" w:hAnsi="宋体" w:cs="宋体"/>
                      <w:color w:val="auto"/>
                      <w:szCs w:val="21"/>
                      <w:highlight w:val="none"/>
                    </w:rPr>
                    <w:t>提供售后服务</w:t>
                  </w:r>
                  <w:r>
                    <w:rPr>
                      <w:rFonts w:hint="eastAsia" w:ascii="宋体" w:hAnsi="宋体" w:cs="宋体"/>
                      <w:color w:val="auto"/>
                      <w:szCs w:val="21"/>
                      <w:highlight w:val="none"/>
                      <w:lang w:eastAsia="zh-CN"/>
                    </w:rPr>
                    <w:t>。</w:t>
                  </w:r>
                </w:p>
              </w:tc>
            </w:tr>
            <w:tr w14:paraId="3A677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000" w:type="pct"/>
                  <w:gridSpan w:val="3"/>
                </w:tcPr>
                <w:p w14:paraId="74080334">
                  <w:pP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（三）其他商务要求</w:t>
                  </w:r>
                </w:p>
              </w:tc>
            </w:tr>
            <w:tr w14:paraId="63FD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restart"/>
                  <w:vAlign w:val="center"/>
                </w:tcPr>
                <w:p w14:paraId="7E63519C">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w:t>
                  </w:r>
                </w:p>
              </w:tc>
              <w:tc>
                <w:tcPr>
                  <w:tcW w:w="917" w:type="pct"/>
                  <w:vMerge w:val="restart"/>
                  <w:vAlign w:val="center"/>
                </w:tcPr>
                <w:p w14:paraId="71BA5742">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关于交货</w:t>
                  </w:r>
                </w:p>
              </w:tc>
              <w:tc>
                <w:tcPr>
                  <w:tcW w:w="3377" w:type="pct"/>
                </w:tcPr>
                <w:p w14:paraId="34FF80C8">
                  <w:pPr>
                    <w:rPr>
                      <w:rFonts w:asciiTheme="minorEastAsia" w:hAnsiTheme="minorEastAsia" w:eastAsiaTheme="minorEastAsia"/>
                      <w:bCs/>
                      <w:color w:val="auto"/>
                      <w:szCs w:val="21"/>
                    </w:rPr>
                  </w:pPr>
                  <w:r>
                    <w:rPr>
                      <w:rFonts w:hint="eastAsia" w:cs="宋体" w:asciiTheme="minorEastAsia" w:hAnsiTheme="minorEastAsia" w:eastAsiaTheme="minorEastAsia"/>
                      <w:b/>
                      <w:color w:val="auto"/>
                      <w:szCs w:val="21"/>
                    </w:rPr>
                    <w:t>★</w:t>
                  </w:r>
                  <w:r>
                    <w:rPr>
                      <w:rFonts w:hint="eastAsia" w:asciiTheme="minorEastAsia" w:hAnsiTheme="minorEastAsia" w:eastAsiaTheme="minorEastAsia"/>
                      <w:bCs/>
                      <w:color w:val="auto"/>
                      <w:szCs w:val="21"/>
                    </w:rPr>
                    <w:t>1.1</w:t>
                  </w:r>
                  <w:r>
                    <w:rPr>
                      <w:rFonts w:hint="eastAsia"/>
                      <w:color w:val="auto"/>
                    </w:rPr>
                    <w:t xml:space="preserve">签订合同后  </w:t>
                  </w:r>
                  <w:r>
                    <w:rPr>
                      <w:rFonts w:hint="eastAsia"/>
                      <w:color w:val="auto"/>
                      <w:u w:val="single"/>
                    </w:rPr>
                    <w:t xml:space="preserve"> </w:t>
                  </w:r>
                  <w:r>
                    <w:rPr>
                      <w:rFonts w:hint="eastAsia"/>
                      <w:color w:val="auto"/>
                      <w:highlight w:val="yellow"/>
                      <w:u w:val="single"/>
                      <w:lang w:val="en-US" w:eastAsia="zh-CN"/>
                    </w:rPr>
                    <w:t>30</w:t>
                  </w:r>
                  <w:r>
                    <w:rPr>
                      <w:rFonts w:hint="eastAsia"/>
                      <w:color w:val="auto"/>
                      <w:u w:val="single"/>
                    </w:rPr>
                    <w:t xml:space="preserve"> </w:t>
                  </w:r>
                  <w:r>
                    <w:rPr>
                      <w:rFonts w:hint="eastAsia"/>
                      <w:color w:val="auto"/>
                    </w:rPr>
                    <w:t xml:space="preserve"> 天（日历日）内交货。</w:t>
                  </w:r>
                </w:p>
              </w:tc>
            </w:tr>
            <w:tr w14:paraId="72635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continue"/>
                  <w:vAlign w:val="center"/>
                </w:tcPr>
                <w:p w14:paraId="3413EC21">
                  <w:pPr>
                    <w:jc w:val="center"/>
                    <w:rPr>
                      <w:rFonts w:hint="eastAsia" w:asciiTheme="minorEastAsia" w:hAnsiTheme="minorEastAsia" w:eastAsiaTheme="minorEastAsia"/>
                      <w:b/>
                      <w:color w:val="auto"/>
                      <w:szCs w:val="21"/>
                    </w:rPr>
                  </w:pPr>
                </w:p>
              </w:tc>
              <w:tc>
                <w:tcPr>
                  <w:tcW w:w="917" w:type="pct"/>
                  <w:vMerge w:val="continue"/>
                  <w:vAlign w:val="center"/>
                </w:tcPr>
                <w:p w14:paraId="5FFFA18E">
                  <w:pPr>
                    <w:jc w:val="center"/>
                    <w:rPr>
                      <w:rFonts w:hint="eastAsia" w:asciiTheme="minorEastAsia" w:hAnsiTheme="minorEastAsia" w:eastAsiaTheme="minorEastAsia"/>
                      <w:color w:val="auto"/>
                      <w:szCs w:val="21"/>
                    </w:rPr>
                  </w:pPr>
                </w:p>
              </w:tc>
              <w:tc>
                <w:tcPr>
                  <w:tcW w:w="3377" w:type="pct"/>
                </w:tcPr>
                <w:p w14:paraId="24EB41A5">
                  <w:pPr>
                    <w:rPr>
                      <w:rFonts w:hint="eastAsia" w:asciiTheme="minorEastAsia" w:hAnsiTheme="minorEastAsia" w:eastAsiaTheme="minorEastAsia"/>
                      <w:bCs/>
                      <w:color w:val="auto"/>
                      <w:szCs w:val="21"/>
                    </w:rPr>
                  </w:pPr>
                  <w:r>
                    <w:rPr>
                      <w:rFonts w:hint="eastAsia" w:asciiTheme="minorEastAsia" w:hAnsiTheme="minorEastAsia" w:eastAsiaTheme="minorEastAsia"/>
                      <w:bCs/>
                      <w:color w:val="auto"/>
                      <w:szCs w:val="21"/>
                      <w:lang w:val="en-US" w:eastAsia="zh-CN"/>
                    </w:rPr>
                    <w:t>1.2</w:t>
                  </w:r>
                  <w:r>
                    <w:rPr>
                      <w:rFonts w:hint="eastAsia" w:asciiTheme="minorEastAsia" w:hAnsiTheme="minorEastAsia" w:eastAsiaTheme="minorEastAsia"/>
                      <w:bCs/>
                      <w:color w:val="auto"/>
                      <w:szCs w:val="21"/>
                    </w:rPr>
                    <w:t>交货地点：</w:t>
                  </w:r>
                  <w:r>
                    <w:rPr>
                      <w:rFonts w:hint="eastAsia" w:ascii="宋体" w:hAnsi="宋体"/>
                      <w:color w:val="auto"/>
                      <w:szCs w:val="21"/>
                    </w:rPr>
                    <w:t>中标人</w:t>
                  </w:r>
                  <w:r>
                    <w:rPr>
                      <w:rFonts w:hint="eastAsia" w:ascii="宋体" w:hAnsi="宋体" w:cs="宋体"/>
                      <w:bCs/>
                      <w:color w:val="auto"/>
                      <w:szCs w:val="21"/>
                      <w:highlight w:val="none"/>
                    </w:rPr>
                    <w:t>负责将</w:t>
                  </w:r>
                  <w:r>
                    <w:rPr>
                      <w:rFonts w:hint="eastAsia" w:ascii="宋体" w:hAnsi="宋体" w:cs="宋体"/>
                      <w:color w:val="auto"/>
                      <w:szCs w:val="21"/>
                      <w:highlight w:val="none"/>
                    </w:rPr>
                    <w:t>货物</w:t>
                  </w:r>
                  <w:r>
                    <w:rPr>
                      <w:rFonts w:hint="eastAsia" w:ascii="宋体" w:hAnsi="宋体" w:cs="宋体"/>
                      <w:bCs/>
                      <w:color w:val="auto"/>
                      <w:szCs w:val="21"/>
                      <w:highlight w:val="none"/>
                    </w:rPr>
                    <w:t>安全无损运抵采购人指定地点,并承担设备的包装、运输、保险、装卸、安装调试、培训、商检及计量检测、关税、增值税和进口代理等费用</w:t>
                  </w:r>
                  <w:r>
                    <w:rPr>
                      <w:rFonts w:hint="eastAsia" w:ascii="宋体" w:hAnsi="宋体" w:cs="宋体"/>
                      <w:color w:val="auto"/>
                      <w:szCs w:val="21"/>
                      <w:highlight w:val="none"/>
                    </w:rPr>
                    <w:t>。</w:t>
                  </w:r>
                </w:p>
              </w:tc>
            </w:tr>
            <w:tr w14:paraId="4A70D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37F96C3E">
                  <w:pPr>
                    <w:jc w:val="center"/>
                    <w:rPr>
                      <w:rFonts w:asciiTheme="minorEastAsia" w:hAnsiTheme="minorEastAsia" w:eastAsiaTheme="minorEastAsia"/>
                      <w:b/>
                      <w:color w:val="auto"/>
                      <w:szCs w:val="21"/>
                    </w:rPr>
                  </w:pPr>
                </w:p>
              </w:tc>
              <w:tc>
                <w:tcPr>
                  <w:tcW w:w="917" w:type="pct"/>
                  <w:vMerge w:val="continue"/>
                  <w:vAlign w:val="center"/>
                </w:tcPr>
                <w:p w14:paraId="2A693C88">
                  <w:pPr>
                    <w:jc w:val="center"/>
                    <w:rPr>
                      <w:rFonts w:asciiTheme="minorEastAsia" w:hAnsiTheme="minorEastAsia" w:eastAsiaTheme="minorEastAsia"/>
                      <w:color w:val="auto"/>
                      <w:szCs w:val="21"/>
                    </w:rPr>
                  </w:pPr>
                </w:p>
              </w:tc>
              <w:tc>
                <w:tcPr>
                  <w:tcW w:w="3377" w:type="pct"/>
                </w:tcPr>
                <w:p w14:paraId="043ED0B5">
                  <w:pPr>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1.</w:t>
                  </w:r>
                  <w:r>
                    <w:rPr>
                      <w:rFonts w:hint="eastAsia" w:asciiTheme="minorEastAsia" w:hAnsiTheme="minorEastAsia" w:eastAsiaTheme="minorEastAsia"/>
                      <w:bCs/>
                      <w:color w:val="auto"/>
                      <w:szCs w:val="21"/>
                      <w:lang w:val="en-US" w:eastAsia="zh-CN"/>
                    </w:rPr>
                    <w:t>3</w:t>
                  </w:r>
                  <w:r>
                    <w:rPr>
                      <w:rFonts w:hint="eastAsia" w:ascii="宋体" w:hAnsi="宋体"/>
                      <w:color w:val="auto"/>
                      <w:szCs w:val="21"/>
                    </w:rPr>
                    <w:t>中标人</w:t>
                  </w:r>
                  <w:r>
                    <w:rPr>
                      <w:rFonts w:hint="eastAsia" w:ascii="宋体" w:hAnsi="宋体" w:cs="宋体"/>
                      <w:bCs/>
                      <w:color w:val="auto"/>
                      <w:szCs w:val="21"/>
                      <w:highlight w:val="none"/>
                    </w:rPr>
                    <w:t>应提供货物的技术文件，包括但不限于设备配置清单、产品说明书、图纸、操作手册等，所有外文资料须提供中文译本。文件应随货物一并交付至采购人指定地点</w:t>
                  </w:r>
                  <w:r>
                    <w:rPr>
                      <w:rFonts w:hint="eastAsia" w:ascii="宋体" w:hAnsi="宋体" w:cs="宋体"/>
                      <w:color w:val="auto"/>
                      <w:szCs w:val="21"/>
                      <w:highlight w:val="none"/>
                    </w:rPr>
                    <w:t>。</w:t>
                  </w:r>
                </w:p>
              </w:tc>
            </w:tr>
            <w:tr w14:paraId="2BCF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24EF845E">
                  <w:pPr>
                    <w:jc w:val="center"/>
                    <w:rPr>
                      <w:rFonts w:asciiTheme="minorEastAsia" w:hAnsiTheme="minorEastAsia" w:eastAsiaTheme="minorEastAsia"/>
                      <w:b/>
                      <w:color w:val="auto"/>
                      <w:szCs w:val="21"/>
                    </w:rPr>
                  </w:pPr>
                </w:p>
              </w:tc>
              <w:tc>
                <w:tcPr>
                  <w:tcW w:w="917" w:type="pct"/>
                  <w:vMerge w:val="continue"/>
                  <w:vAlign w:val="center"/>
                </w:tcPr>
                <w:p w14:paraId="2C9D9442">
                  <w:pPr>
                    <w:jc w:val="center"/>
                    <w:rPr>
                      <w:rFonts w:asciiTheme="minorEastAsia" w:hAnsiTheme="minorEastAsia" w:eastAsiaTheme="minorEastAsia"/>
                      <w:color w:val="auto"/>
                      <w:szCs w:val="21"/>
                    </w:rPr>
                  </w:pPr>
                </w:p>
              </w:tc>
              <w:tc>
                <w:tcPr>
                  <w:tcW w:w="3377" w:type="pct"/>
                </w:tcPr>
                <w:p w14:paraId="2832174A">
                  <w:pPr>
                    <w:rPr>
                      <w:rFonts w:hint="eastAsia" w:asciiTheme="minorEastAsia" w:hAnsiTheme="minorEastAsia" w:eastAsiaTheme="minorEastAsia"/>
                      <w:bCs/>
                      <w:color w:val="auto"/>
                      <w:szCs w:val="21"/>
                    </w:rPr>
                  </w:pPr>
                  <w:r>
                    <w:rPr>
                      <w:rFonts w:hint="eastAsia" w:ascii="宋体" w:hAnsi="宋体" w:cs="宋体"/>
                      <w:bCs/>
                      <w:color w:val="auto"/>
                      <w:szCs w:val="21"/>
                      <w:lang w:val="en-US" w:eastAsia="zh-CN"/>
                    </w:rPr>
                    <w:t>1.4</w:t>
                  </w:r>
                  <w:r>
                    <w:rPr>
                      <w:rFonts w:hint="eastAsia" w:ascii="宋体" w:hAnsi="宋体"/>
                      <w:color w:val="auto"/>
                      <w:szCs w:val="21"/>
                    </w:rPr>
                    <w:t>中标人</w:t>
                  </w:r>
                  <w:r>
                    <w:rPr>
                      <w:rFonts w:hint="eastAsia" w:ascii="宋体" w:hAnsi="宋体" w:cs="宋体"/>
                      <w:bCs/>
                      <w:color w:val="auto"/>
                      <w:szCs w:val="21"/>
                    </w:rPr>
                    <w:t>提供的货物必须为全新、经检验合格的产品。</w:t>
                  </w:r>
                  <w:r>
                    <w:rPr>
                      <w:rFonts w:hint="eastAsia" w:ascii="宋体" w:hAnsi="宋体" w:cs="宋体"/>
                      <w:bCs/>
                      <w:color w:val="auto"/>
                      <w:szCs w:val="21"/>
                      <w:highlight w:val="none"/>
                    </w:rPr>
                    <w:t>产品如需要计量检定的应</w:t>
                  </w:r>
                  <w:r>
                    <w:rPr>
                      <w:rFonts w:hint="eastAsia" w:ascii="宋体" w:hAnsi="宋体" w:cs="宋体"/>
                      <w:color w:val="auto"/>
                      <w:szCs w:val="21"/>
                      <w:highlight w:val="none"/>
                    </w:rPr>
                    <w:t>提供</w:t>
                  </w:r>
                  <w:r>
                    <w:rPr>
                      <w:rFonts w:hint="eastAsia" w:ascii="宋体" w:hAnsi="宋体" w:cs="宋体"/>
                      <w:bCs/>
                      <w:color w:val="auto"/>
                      <w:szCs w:val="21"/>
                      <w:highlight w:val="none"/>
                    </w:rPr>
                    <w:t>相关计量检定部门出具的合法检定报告。其中，进口设备必须具有报关证明文件和商检证明文件（免检设备</w:t>
                  </w:r>
                  <w:r>
                    <w:rPr>
                      <w:rFonts w:hint="eastAsia" w:ascii="宋体" w:hAnsi="宋体" w:cs="宋体"/>
                      <w:bCs/>
                      <w:color w:val="auto"/>
                      <w:szCs w:val="21"/>
                      <w:highlight w:val="none"/>
                      <w:lang w:eastAsia="zh-CN"/>
                    </w:rPr>
                    <w:t>提供免检证明</w:t>
                  </w:r>
                  <w:r>
                    <w:rPr>
                      <w:rFonts w:hint="eastAsia" w:ascii="宋体" w:hAnsi="宋体" w:cs="宋体"/>
                      <w:bCs/>
                      <w:color w:val="auto"/>
                      <w:szCs w:val="21"/>
                      <w:highlight w:val="none"/>
                    </w:rPr>
                    <w:t>）</w:t>
                  </w:r>
                  <w:r>
                    <w:rPr>
                      <w:rFonts w:hint="eastAsia" w:ascii="宋体" w:hAnsi="宋体" w:cs="宋体"/>
                      <w:color w:val="auto"/>
                      <w:szCs w:val="21"/>
                      <w:highlight w:val="none"/>
                    </w:rPr>
                    <w:t>。</w:t>
                  </w:r>
                </w:p>
              </w:tc>
            </w:tr>
            <w:tr w14:paraId="6A29A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053647AB">
                  <w:pPr>
                    <w:jc w:val="center"/>
                    <w:rPr>
                      <w:rFonts w:asciiTheme="minorEastAsia" w:hAnsiTheme="minorEastAsia" w:eastAsiaTheme="minorEastAsia"/>
                      <w:b/>
                      <w:color w:val="auto"/>
                      <w:szCs w:val="21"/>
                    </w:rPr>
                  </w:pPr>
                </w:p>
              </w:tc>
              <w:tc>
                <w:tcPr>
                  <w:tcW w:w="917" w:type="pct"/>
                  <w:vMerge w:val="continue"/>
                  <w:vAlign w:val="center"/>
                </w:tcPr>
                <w:p w14:paraId="731E2867">
                  <w:pPr>
                    <w:jc w:val="center"/>
                    <w:rPr>
                      <w:rFonts w:asciiTheme="minorEastAsia" w:hAnsiTheme="minorEastAsia" w:eastAsiaTheme="minorEastAsia"/>
                      <w:color w:val="auto"/>
                      <w:szCs w:val="21"/>
                    </w:rPr>
                  </w:pPr>
                </w:p>
              </w:tc>
              <w:tc>
                <w:tcPr>
                  <w:tcW w:w="3377" w:type="pct"/>
                </w:tcPr>
                <w:p w14:paraId="6D3FAA37">
                  <w:pPr>
                    <w:rPr>
                      <w:rFonts w:hint="eastAsia" w:eastAsia="宋体"/>
                      <w:color w:val="auto"/>
                      <w:lang w:eastAsia="zh-CN"/>
                    </w:rPr>
                  </w:pPr>
                  <w:r>
                    <w:rPr>
                      <w:rFonts w:hint="eastAsia" w:ascii="宋体" w:hAnsi="宋体" w:cs="宋体"/>
                      <w:bCs/>
                      <w:color w:val="auto"/>
                      <w:szCs w:val="21"/>
                      <w:highlight w:val="none"/>
                      <w:lang w:val="en-US" w:eastAsia="zh-CN"/>
                    </w:rPr>
                    <w:t>1.5</w:t>
                  </w:r>
                  <w:r>
                    <w:rPr>
                      <w:rFonts w:hint="eastAsia" w:ascii="宋体" w:hAnsi="宋体" w:cs="宋体"/>
                      <w:bCs/>
                      <w:color w:val="auto"/>
                      <w:szCs w:val="21"/>
                      <w:highlight w:val="none"/>
                    </w:rPr>
                    <w:t>采购人有权检验或测试货物，以确认货物是否符合合同规格的要求。如果发现所交货物与投标文件中所承诺的不符或存在质量、技术缺陷等,采购人可以拒绝接收该货物</w:t>
                  </w:r>
                  <w:r>
                    <w:rPr>
                      <w:rFonts w:hint="eastAsia" w:ascii="宋体" w:hAnsi="宋体" w:cs="宋体"/>
                      <w:bCs/>
                      <w:color w:val="auto"/>
                      <w:szCs w:val="21"/>
                      <w:highlight w:val="none"/>
                      <w:lang w:eastAsia="zh-CN"/>
                    </w:rPr>
                    <w:t>。</w:t>
                  </w:r>
                </w:p>
              </w:tc>
            </w:tr>
            <w:tr w14:paraId="73AF0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705" w:type="pct"/>
                  <w:vMerge w:val="continue"/>
                  <w:vAlign w:val="center"/>
                </w:tcPr>
                <w:p w14:paraId="2C4FEAA1">
                  <w:pPr>
                    <w:jc w:val="center"/>
                    <w:rPr>
                      <w:rFonts w:asciiTheme="minorEastAsia" w:hAnsiTheme="minorEastAsia" w:eastAsiaTheme="minorEastAsia"/>
                      <w:b/>
                      <w:color w:val="auto"/>
                      <w:szCs w:val="21"/>
                    </w:rPr>
                  </w:pPr>
                </w:p>
              </w:tc>
              <w:tc>
                <w:tcPr>
                  <w:tcW w:w="917" w:type="pct"/>
                  <w:vMerge w:val="continue"/>
                  <w:vAlign w:val="center"/>
                </w:tcPr>
                <w:p w14:paraId="0E8B493F">
                  <w:pPr>
                    <w:jc w:val="center"/>
                    <w:rPr>
                      <w:rFonts w:asciiTheme="minorEastAsia" w:hAnsiTheme="minorEastAsia" w:eastAsiaTheme="minorEastAsia"/>
                      <w:color w:val="auto"/>
                      <w:szCs w:val="21"/>
                    </w:rPr>
                  </w:pPr>
                </w:p>
              </w:tc>
              <w:tc>
                <w:tcPr>
                  <w:tcW w:w="3377" w:type="pct"/>
                </w:tcPr>
                <w:p w14:paraId="383E7CB9">
                  <w:pPr>
                    <w:rPr>
                      <w:rFonts w:hint="eastAsia"/>
                      <w:color w:val="auto"/>
                      <w:lang w:val="en-US" w:eastAsia="zh-CN"/>
                    </w:rPr>
                  </w:pPr>
                  <w:r>
                    <w:rPr>
                      <w:rFonts w:hint="eastAsia" w:ascii="宋体" w:hAnsi="宋体" w:cs="宋体"/>
                      <w:color w:val="auto"/>
                      <w:szCs w:val="21"/>
                      <w:highlight w:val="none"/>
                      <w:lang w:val="en-US" w:eastAsia="zh-CN"/>
                    </w:rPr>
                    <w:t>1.6</w:t>
                  </w:r>
                  <w:r>
                    <w:rPr>
                      <w:rFonts w:hint="eastAsia" w:ascii="宋体" w:hAnsi="宋体"/>
                      <w:color w:val="auto"/>
                      <w:szCs w:val="21"/>
                    </w:rPr>
                    <w:t>中标人</w:t>
                  </w:r>
                  <w:r>
                    <w:rPr>
                      <w:rFonts w:hint="eastAsia" w:ascii="宋体" w:hAnsi="宋体" w:cs="宋体"/>
                      <w:color w:val="auto"/>
                      <w:szCs w:val="21"/>
                      <w:highlight w:val="none"/>
                    </w:rPr>
                    <w:t>负责货物的现场安装和调试,提供货物安装、调试和维修所需的专用工具和辅助材料。</w:t>
                  </w:r>
                  <w:r>
                    <w:rPr>
                      <w:rFonts w:hint="eastAsia" w:ascii="宋体" w:hAnsi="宋体"/>
                      <w:color w:val="auto"/>
                      <w:szCs w:val="21"/>
                    </w:rPr>
                    <w:t>中标人</w:t>
                  </w:r>
                  <w:r>
                    <w:rPr>
                      <w:rFonts w:hint="eastAsia" w:ascii="宋体" w:hAnsi="宋体" w:cs="宋体"/>
                      <w:color w:val="auto"/>
                      <w:szCs w:val="21"/>
                      <w:highlight w:val="none"/>
                    </w:rPr>
                    <w:t>应在货物运至指定地点后</w:t>
                  </w:r>
                  <w:r>
                    <w:rPr>
                      <w:rFonts w:hint="eastAsia" w:ascii="宋体" w:hAnsi="宋体" w:cs="宋体"/>
                      <w:color w:val="auto"/>
                      <w:szCs w:val="21"/>
                      <w:highlight w:val="yellow"/>
                      <w:u w:val="single"/>
                      <w:lang w:val="en-US" w:eastAsia="zh-CN"/>
                    </w:rPr>
                    <w:t xml:space="preserve"> 5 </w:t>
                  </w:r>
                  <w:r>
                    <w:rPr>
                      <w:rFonts w:hint="eastAsia" w:ascii="宋体" w:hAnsi="宋体" w:cs="宋体"/>
                      <w:color w:val="auto"/>
                      <w:szCs w:val="21"/>
                      <w:highlight w:val="none"/>
                      <w:lang w:val="en-US" w:eastAsia="zh-CN"/>
                    </w:rPr>
                    <w:t>天</w:t>
                  </w:r>
                  <w:r>
                    <w:rPr>
                      <w:rFonts w:hint="eastAsia" w:ascii="宋体" w:hAnsi="宋体" w:cs="宋体"/>
                      <w:color w:val="auto"/>
                      <w:szCs w:val="21"/>
                      <w:highlight w:val="none"/>
                    </w:rPr>
                    <w:t>内开始安装调试,并在</w:t>
                  </w:r>
                  <w:r>
                    <w:rPr>
                      <w:rFonts w:hint="eastAsia" w:ascii="宋体" w:hAnsi="宋体" w:cs="宋体"/>
                      <w:bCs/>
                      <w:color w:val="auto"/>
                      <w:szCs w:val="21"/>
                      <w:highlight w:val="yellow"/>
                      <w:u w:val="single"/>
                    </w:rPr>
                    <w:t xml:space="preserve"> 5 </w:t>
                  </w:r>
                  <w:r>
                    <w:rPr>
                      <w:rFonts w:hint="eastAsia" w:ascii="宋体" w:hAnsi="宋体" w:cs="宋体"/>
                      <w:color w:val="auto"/>
                      <w:szCs w:val="21"/>
                      <w:highlight w:val="none"/>
                    </w:rPr>
                    <w:t>天内安装调试完毕。</w:t>
                  </w:r>
                </w:p>
              </w:tc>
            </w:tr>
            <w:tr w14:paraId="05782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40764C52">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2</w:t>
                  </w:r>
                </w:p>
              </w:tc>
              <w:tc>
                <w:tcPr>
                  <w:tcW w:w="917" w:type="pct"/>
                  <w:vMerge w:val="restart"/>
                  <w:vAlign w:val="center"/>
                </w:tcPr>
                <w:p w14:paraId="7692AFE1">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关于验收</w:t>
                  </w:r>
                </w:p>
              </w:tc>
              <w:tc>
                <w:tcPr>
                  <w:tcW w:w="3377" w:type="pct"/>
                </w:tcPr>
                <w:p w14:paraId="1E918C66">
                  <w:pPr>
                    <w:spacing w:line="340" w:lineRule="exact"/>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2.1</w:t>
                  </w:r>
                  <w:r>
                    <w:rPr>
                      <w:rFonts w:hint="eastAsia" w:ascii="宋体" w:hAnsi="宋体"/>
                      <w:color w:val="auto"/>
                      <w:szCs w:val="21"/>
                    </w:rPr>
                    <w:t>中标人</w:t>
                  </w:r>
                  <w:r>
                    <w:rPr>
                      <w:rFonts w:hint="eastAsia" w:asciiTheme="minorEastAsia" w:hAnsiTheme="minorEastAsia" w:eastAsiaTheme="minorEastAsia"/>
                      <w:bCs/>
                      <w:color w:val="auto"/>
                      <w:szCs w:val="21"/>
                    </w:rPr>
                    <w:t>货物经过双方检验认可后，签署验收报告，产品保修期自验收合格之日起算，由投标人提供产品保修文件。</w:t>
                  </w:r>
                </w:p>
              </w:tc>
            </w:tr>
            <w:tr w14:paraId="556A4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3168FB7D">
                  <w:pPr>
                    <w:jc w:val="center"/>
                    <w:rPr>
                      <w:rFonts w:asciiTheme="minorEastAsia" w:hAnsiTheme="minorEastAsia" w:eastAsiaTheme="minorEastAsia"/>
                      <w:b/>
                      <w:color w:val="auto"/>
                      <w:szCs w:val="21"/>
                    </w:rPr>
                  </w:pPr>
                </w:p>
              </w:tc>
              <w:tc>
                <w:tcPr>
                  <w:tcW w:w="917" w:type="pct"/>
                  <w:vMerge w:val="continue"/>
                  <w:vAlign w:val="center"/>
                </w:tcPr>
                <w:p w14:paraId="5D8352B9">
                  <w:pPr>
                    <w:jc w:val="center"/>
                    <w:rPr>
                      <w:rFonts w:asciiTheme="minorEastAsia" w:hAnsiTheme="minorEastAsia" w:eastAsiaTheme="minorEastAsia"/>
                      <w:b/>
                      <w:color w:val="auto"/>
                      <w:szCs w:val="21"/>
                    </w:rPr>
                  </w:pPr>
                </w:p>
              </w:tc>
              <w:tc>
                <w:tcPr>
                  <w:tcW w:w="3377" w:type="pct"/>
                </w:tcPr>
                <w:p w14:paraId="7B2B56F4">
                  <w:pPr>
                    <w:spacing w:line="340" w:lineRule="exact"/>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2.2当满足以下条件时，采购人才向中标人签发货物验收报告：</w:t>
                  </w:r>
                </w:p>
                <w:p w14:paraId="35D8B072">
                  <w:pPr>
                    <w:tabs>
                      <w:tab w:val="left" w:pos="1260"/>
                    </w:tabs>
                    <w:spacing w:line="340" w:lineRule="exact"/>
                    <w:rPr>
                      <w:rFonts w:asciiTheme="minorEastAsia" w:hAnsiTheme="minorEastAsia" w:eastAsiaTheme="minorEastAsia"/>
                      <w:bCs/>
                      <w:color w:val="auto"/>
                      <w:szCs w:val="21"/>
                    </w:rPr>
                  </w:pPr>
                  <w:r>
                    <w:rPr>
                      <w:rFonts w:asciiTheme="minorEastAsia" w:hAnsiTheme="minorEastAsia" w:eastAsiaTheme="minorEastAsia"/>
                      <w:bCs/>
                      <w:color w:val="auto"/>
                      <w:szCs w:val="21"/>
                    </w:rPr>
                    <w:t>a</w:t>
                  </w:r>
                  <w:r>
                    <w:rPr>
                      <w:rFonts w:hint="eastAsia" w:asciiTheme="minorEastAsia" w:hAnsiTheme="minorEastAsia" w:eastAsiaTheme="minorEastAsia"/>
                      <w:bCs/>
                      <w:color w:val="auto"/>
                      <w:szCs w:val="21"/>
                    </w:rPr>
                    <w:t>、中标人已按照合同规定提供了全部产品及完整的技术资料。</w:t>
                  </w:r>
                </w:p>
                <w:p w14:paraId="2992689B">
                  <w:pPr>
                    <w:tabs>
                      <w:tab w:val="left" w:pos="1260"/>
                    </w:tabs>
                    <w:spacing w:line="340" w:lineRule="exact"/>
                    <w:rPr>
                      <w:rFonts w:asciiTheme="minorEastAsia" w:hAnsiTheme="minorEastAsia" w:eastAsiaTheme="minorEastAsia"/>
                      <w:bCs/>
                      <w:color w:val="auto"/>
                      <w:szCs w:val="21"/>
                    </w:rPr>
                  </w:pPr>
                  <w:r>
                    <w:rPr>
                      <w:rFonts w:asciiTheme="minorEastAsia" w:hAnsiTheme="minorEastAsia" w:eastAsiaTheme="minorEastAsia"/>
                      <w:bCs/>
                      <w:color w:val="auto"/>
                      <w:szCs w:val="21"/>
                    </w:rPr>
                    <w:t>b</w:t>
                  </w:r>
                  <w:r>
                    <w:rPr>
                      <w:rFonts w:hint="eastAsia" w:asciiTheme="minorEastAsia" w:hAnsiTheme="minorEastAsia" w:eastAsiaTheme="minorEastAsia"/>
                      <w:bCs/>
                      <w:color w:val="auto"/>
                      <w:szCs w:val="21"/>
                    </w:rPr>
                    <w:t>、货物符合招标文件技术规格书的要求，性能满足要求。</w:t>
                  </w:r>
                </w:p>
              </w:tc>
            </w:tr>
            <w:tr w14:paraId="6C5DC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606FB313">
                  <w:pPr>
                    <w:jc w:val="center"/>
                    <w:rPr>
                      <w:rFonts w:asciiTheme="minorEastAsia" w:hAnsiTheme="minorEastAsia" w:eastAsiaTheme="minorEastAsia"/>
                      <w:b/>
                      <w:color w:val="auto"/>
                      <w:szCs w:val="21"/>
                    </w:rPr>
                  </w:pPr>
                </w:p>
              </w:tc>
              <w:tc>
                <w:tcPr>
                  <w:tcW w:w="917" w:type="pct"/>
                  <w:vMerge w:val="continue"/>
                  <w:vAlign w:val="center"/>
                </w:tcPr>
                <w:p w14:paraId="056B2DF0">
                  <w:pPr>
                    <w:jc w:val="center"/>
                    <w:rPr>
                      <w:rFonts w:asciiTheme="minorEastAsia" w:hAnsiTheme="minorEastAsia" w:eastAsiaTheme="minorEastAsia"/>
                      <w:b/>
                      <w:color w:val="auto"/>
                      <w:szCs w:val="21"/>
                    </w:rPr>
                  </w:pPr>
                </w:p>
              </w:tc>
              <w:tc>
                <w:tcPr>
                  <w:tcW w:w="3377" w:type="pct"/>
                </w:tcPr>
                <w:p w14:paraId="46744618">
                  <w:pPr>
                    <w:rPr>
                      <w:rFonts w:asciiTheme="minorEastAsia" w:hAnsiTheme="minorEastAsia" w:eastAsiaTheme="minorEastAsia"/>
                      <w:b/>
                      <w:color w:val="auto"/>
                      <w:szCs w:val="21"/>
                    </w:rPr>
                  </w:pPr>
                  <w:r>
                    <w:rPr>
                      <w:rFonts w:hint="eastAsia" w:asciiTheme="minorEastAsia" w:hAnsiTheme="minorEastAsia" w:eastAsiaTheme="minorEastAsia"/>
                      <w:bCs/>
                      <w:color w:val="auto"/>
                      <w:szCs w:val="21"/>
                    </w:rPr>
                    <w:t>2.3</w:t>
                  </w:r>
                  <w:r>
                    <w:rPr>
                      <w:rFonts w:hint="eastAsia" w:ascii="宋体" w:hAnsi="宋体" w:cs="宋体"/>
                      <w:color w:val="auto"/>
                      <w:szCs w:val="21"/>
                      <w:highlight w:val="none"/>
                    </w:rPr>
                    <w:t>由</w:t>
                  </w:r>
                  <w:r>
                    <w:rPr>
                      <w:rFonts w:hint="eastAsia" w:ascii="宋体" w:hAnsi="宋体"/>
                      <w:color w:val="auto"/>
                      <w:szCs w:val="21"/>
                    </w:rPr>
                    <w:t>中标人</w:t>
                  </w:r>
                  <w:r>
                    <w:rPr>
                      <w:rFonts w:hint="eastAsia" w:ascii="宋体" w:hAnsi="宋体" w:cs="宋体"/>
                      <w:color w:val="auto"/>
                      <w:szCs w:val="21"/>
                      <w:highlight w:val="none"/>
                    </w:rPr>
                    <w:t>代表和采购人组成验收小组对产品进行验收。验收标准按照国家规定标准执行。经检验设备正常运作后签署验收报告,产品保修期自验收合格之日起算。</w:t>
                  </w:r>
                </w:p>
              </w:tc>
            </w:tr>
            <w:tr w14:paraId="7B621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2E37E4E5">
                  <w:pPr>
                    <w:jc w:val="center"/>
                    <w:rPr>
                      <w:rFonts w:asciiTheme="minorEastAsia" w:hAnsiTheme="minorEastAsia" w:eastAsiaTheme="minorEastAsia"/>
                      <w:color w:val="auto"/>
                      <w:szCs w:val="21"/>
                    </w:rPr>
                  </w:pPr>
                  <w:r>
                    <w:rPr>
                      <w:rFonts w:hint="eastAsia" w:asciiTheme="minorEastAsia" w:hAnsiTheme="minorEastAsia" w:eastAsiaTheme="minorEastAsia"/>
                      <w:b/>
                      <w:color w:val="auto"/>
                      <w:szCs w:val="21"/>
                    </w:rPr>
                    <w:t>3</w:t>
                  </w:r>
                </w:p>
              </w:tc>
              <w:tc>
                <w:tcPr>
                  <w:tcW w:w="917" w:type="pct"/>
                  <w:vMerge w:val="restart"/>
                  <w:vAlign w:val="center"/>
                </w:tcPr>
                <w:p w14:paraId="3800A738">
                  <w:pPr>
                    <w:jc w:val="center"/>
                    <w:rPr>
                      <w:rFonts w:asciiTheme="minorEastAsia" w:hAnsiTheme="minorEastAsia" w:eastAsiaTheme="minorEastAsia"/>
                      <w:b/>
                      <w:color w:val="auto"/>
                      <w:szCs w:val="21"/>
                    </w:rPr>
                  </w:pPr>
                  <w:r>
                    <w:rPr>
                      <w:rFonts w:hint="eastAsia" w:asciiTheme="minorEastAsia" w:hAnsiTheme="minorEastAsia" w:eastAsiaTheme="minorEastAsia"/>
                      <w:color w:val="auto"/>
                      <w:szCs w:val="21"/>
                    </w:rPr>
                    <w:t>关于违约</w:t>
                  </w:r>
                </w:p>
              </w:tc>
              <w:tc>
                <w:tcPr>
                  <w:tcW w:w="3377" w:type="pct"/>
                </w:tcPr>
                <w:p w14:paraId="5DCFE608">
                  <w:pPr>
                    <w:rPr>
                      <w:rFonts w:asciiTheme="minorEastAsia" w:hAnsiTheme="minorEastAsia" w:eastAsiaTheme="minorEastAsia"/>
                      <w:b/>
                      <w:color w:val="auto"/>
                      <w:szCs w:val="21"/>
                    </w:rPr>
                  </w:pPr>
                  <w:r>
                    <w:rPr>
                      <w:rFonts w:hint="eastAsia" w:asciiTheme="minorEastAsia" w:hAnsiTheme="minorEastAsia" w:eastAsiaTheme="minorEastAsia"/>
                      <w:b w:val="0"/>
                      <w:bCs/>
                      <w:color w:val="auto"/>
                      <w:szCs w:val="21"/>
                    </w:rPr>
                    <w:t>3.1</w:t>
                  </w:r>
                  <w:r>
                    <w:rPr>
                      <w:rFonts w:hint="eastAsia" w:ascii="宋体" w:hAnsi="宋体"/>
                      <w:b w:val="0"/>
                      <w:bCs/>
                      <w:color w:val="auto"/>
                      <w:szCs w:val="21"/>
                    </w:rPr>
                    <w:t>中标</w:t>
                  </w:r>
                  <w:r>
                    <w:rPr>
                      <w:rFonts w:hint="eastAsia" w:ascii="宋体" w:hAnsi="宋体"/>
                      <w:color w:val="auto"/>
                      <w:szCs w:val="21"/>
                    </w:rPr>
                    <w:t>人</w:t>
                  </w:r>
                  <w:r>
                    <w:rPr>
                      <w:rFonts w:hint="eastAsia" w:ascii="宋体" w:hAnsi="宋体" w:cs="宋体"/>
                      <w:bCs/>
                      <w:color w:val="auto"/>
                      <w:szCs w:val="21"/>
                      <w:highlight w:val="none"/>
                    </w:rPr>
                    <w:t>未按照投标文件中承诺的时间交货或提供服务，投标人</w:t>
                  </w:r>
                  <w:r>
                    <w:rPr>
                      <w:rFonts w:hint="eastAsia" w:ascii="宋体" w:hAnsi="宋体" w:cs="宋体"/>
                      <w:color w:val="auto"/>
                      <w:szCs w:val="21"/>
                      <w:highlight w:val="none"/>
                    </w:rPr>
                    <w:t>应承担</w:t>
                  </w:r>
                  <w:r>
                    <w:rPr>
                      <w:rFonts w:hint="eastAsia" w:ascii="宋体" w:hAnsi="宋体" w:cs="宋体"/>
                      <w:bCs/>
                      <w:color w:val="auto"/>
                      <w:szCs w:val="21"/>
                      <w:highlight w:val="none"/>
                    </w:rPr>
                    <w:t>延期交货和延期服务的违约责任，并赔偿采购人因此造成的实际经济损失。实际经济损失超出履约保证金额，采购人有权终止合同。</w:t>
                  </w:r>
                </w:p>
              </w:tc>
            </w:tr>
            <w:tr w14:paraId="33BE0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67B1D1C1">
                  <w:pPr>
                    <w:jc w:val="center"/>
                    <w:rPr>
                      <w:rFonts w:hint="eastAsia" w:asciiTheme="minorEastAsia" w:hAnsiTheme="minorEastAsia" w:eastAsiaTheme="minorEastAsia"/>
                      <w:b/>
                      <w:color w:val="auto"/>
                      <w:szCs w:val="21"/>
                    </w:rPr>
                  </w:pPr>
                </w:p>
              </w:tc>
              <w:tc>
                <w:tcPr>
                  <w:tcW w:w="917" w:type="pct"/>
                  <w:vMerge w:val="continue"/>
                  <w:vAlign w:val="center"/>
                </w:tcPr>
                <w:p w14:paraId="3039051C">
                  <w:pPr>
                    <w:jc w:val="center"/>
                    <w:rPr>
                      <w:rFonts w:hint="eastAsia" w:asciiTheme="minorEastAsia" w:hAnsiTheme="minorEastAsia" w:eastAsiaTheme="minorEastAsia"/>
                      <w:color w:val="auto"/>
                      <w:szCs w:val="21"/>
                    </w:rPr>
                  </w:pPr>
                </w:p>
              </w:tc>
              <w:tc>
                <w:tcPr>
                  <w:tcW w:w="3377" w:type="pct"/>
                </w:tcPr>
                <w:p w14:paraId="7F3EF085">
                  <w:pPr>
                    <w:rPr>
                      <w:rFonts w:hint="eastAsia" w:asciiTheme="minorEastAsia" w:hAnsiTheme="minorEastAsia" w:eastAsiaTheme="minorEastAsia"/>
                      <w:b/>
                      <w:color w:val="auto"/>
                      <w:szCs w:val="21"/>
                    </w:rPr>
                  </w:pPr>
                  <w:r>
                    <w:rPr>
                      <w:rFonts w:hint="eastAsia" w:ascii="宋体" w:hAnsi="宋体" w:cs="宋体"/>
                      <w:bCs/>
                      <w:color w:val="auto"/>
                      <w:szCs w:val="21"/>
                      <w:highlight w:val="none"/>
                      <w:lang w:val="en-US" w:eastAsia="zh-CN"/>
                    </w:rPr>
                    <w:t>3.2</w:t>
                  </w:r>
                  <w:r>
                    <w:rPr>
                      <w:rFonts w:hint="eastAsia" w:ascii="宋体" w:hAnsi="宋体"/>
                      <w:color w:val="auto"/>
                      <w:szCs w:val="21"/>
                    </w:rPr>
                    <w:t>中标人</w:t>
                  </w:r>
                  <w:r>
                    <w:rPr>
                      <w:rFonts w:hint="eastAsia" w:ascii="宋体" w:hAnsi="宋体" w:cs="宋体"/>
                      <w:bCs/>
                      <w:color w:val="auto"/>
                      <w:szCs w:val="21"/>
                      <w:highlight w:val="none"/>
                    </w:rPr>
                    <w:t>所交设备的品种、型号、规格、质量、功能、技术参数等方面不能实质性满足招标文件</w:t>
                  </w:r>
                  <w:r>
                    <w:rPr>
                      <w:rFonts w:hint="eastAsia" w:ascii="宋体" w:hAnsi="宋体" w:cs="宋体"/>
                      <w:bCs/>
                      <w:color w:val="auto"/>
                      <w:szCs w:val="21"/>
                      <w:highlight w:val="none"/>
                      <w:lang w:eastAsia="zh-CN"/>
                    </w:rPr>
                    <w:t>要求</w:t>
                  </w:r>
                  <w:r>
                    <w:rPr>
                      <w:rFonts w:hint="eastAsia" w:ascii="宋体" w:hAnsi="宋体" w:cs="宋体"/>
                      <w:bCs/>
                      <w:color w:val="auto"/>
                      <w:szCs w:val="21"/>
                      <w:highlight w:val="none"/>
                    </w:rPr>
                    <w:t>的，采购人有权拒绝收货，</w:t>
                  </w:r>
                  <w:r>
                    <w:rPr>
                      <w:rFonts w:hint="eastAsia" w:ascii="宋体" w:hAnsi="宋体"/>
                      <w:color w:val="auto"/>
                      <w:szCs w:val="21"/>
                    </w:rPr>
                    <w:t>中标人</w:t>
                  </w:r>
                  <w:r>
                    <w:rPr>
                      <w:rFonts w:hint="eastAsia" w:ascii="宋体" w:hAnsi="宋体" w:cs="宋体"/>
                      <w:bCs/>
                      <w:color w:val="auto"/>
                      <w:szCs w:val="21"/>
                      <w:highlight w:val="none"/>
                    </w:rPr>
                    <w:t>向采购人偿付项目采购金额千分之</w:t>
                  </w:r>
                  <w:r>
                    <w:rPr>
                      <w:rFonts w:hint="eastAsia" w:ascii="宋体" w:hAnsi="宋体" w:cs="宋体"/>
                      <w:bCs/>
                      <w:color w:val="auto"/>
                      <w:szCs w:val="21"/>
                      <w:highlight w:val="none"/>
                      <w:u w:val="single"/>
                    </w:rPr>
                    <w:t xml:space="preserve"> 10 </w:t>
                  </w:r>
                  <w:r>
                    <w:rPr>
                      <w:rFonts w:hint="eastAsia" w:ascii="宋体" w:hAnsi="宋体" w:cs="宋体"/>
                      <w:bCs/>
                      <w:color w:val="auto"/>
                      <w:szCs w:val="21"/>
                      <w:highlight w:val="none"/>
                    </w:rPr>
                    <w:t>的违约金；造成严重后果的，根据《深圳经济特区政府采购条例》第五十七条第（二）款规定，由主管部门对投标人进行处罚。</w:t>
                  </w:r>
                </w:p>
              </w:tc>
            </w:tr>
            <w:tr w14:paraId="7187D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325A9F7E">
                  <w:pPr>
                    <w:jc w:val="center"/>
                    <w:rPr>
                      <w:rFonts w:hint="eastAsia" w:asciiTheme="minorEastAsia" w:hAnsiTheme="minorEastAsia" w:eastAsiaTheme="minorEastAsia"/>
                      <w:b/>
                      <w:color w:val="auto"/>
                      <w:szCs w:val="21"/>
                    </w:rPr>
                  </w:pPr>
                </w:p>
              </w:tc>
              <w:tc>
                <w:tcPr>
                  <w:tcW w:w="917" w:type="pct"/>
                  <w:vMerge w:val="continue"/>
                  <w:vAlign w:val="center"/>
                </w:tcPr>
                <w:p w14:paraId="3282B331">
                  <w:pPr>
                    <w:jc w:val="center"/>
                    <w:rPr>
                      <w:rFonts w:hint="eastAsia" w:asciiTheme="minorEastAsia" w:hAnsiTheme="minorEastAsia" w:eastAsiaTheme="minorEastAsia"/>
                      <w:color w:val="auto"/>
                      <w:szCs w:val="21"/>
                    </w:rPr>
                  </w:pPr>
                </w:p>
              </w:tc>
              <w:tc>
                <w:tcPr>
                  <w:tcW w:w="3377" w:type="pct"/>
                </w:tcPr>
                <w:p w14:paraId="2CDA81DF">
                  <w:pPr>
                    <w:rPr>
                      <w:rFonts w:hint="eastAsia" w:ascii="宋体" w:hAnsi="宋体" w:cs="宋体"/>
                      <w:bCs/>
                      <w:color w:val="auto"/>
                      <w:szCs w:val="21"/>
                      <w:highlight w:val="none"/>
                      <w:lang w:val="en-US" w:eastAsia="zh-CN"/>
                    </w:rPr>
                  </w:pPr>
                  <w:r>
                    <w:rPr>
                      <w:rFonts w:hint="eastAsia" w:ascii="宋体" w:hAnsi="宋体" w:cs="宋体"/>
                      <w:bCs/>
                      <w:color w:val="auto"/>
                      <w:szCs w:val="21"/>
                      <w:highlight w:val="none"/>
                      <w:lang w:val="en-US" w:eastAsia="zh-CN"/>
                    </w:rPr>
                    <w:t>3.3</w:t>
                  </w:r>
                  <w:r>
                    <w:rPr>
                      <w:rFonts w:hint="eastAsia" w:ascii="宋体" w:hAnsi="宋体"/>
                      <w:color w:val="auto"/>
                      <w:szCs w:val="21"/>
                      <w:highlight w:val="none"/>
                    </w:rPr>
                    <w:t>中标人</w:t>
                  </w:r>
                  <w:r>
                    <w:rPr>
                      <w:rFonts w:hint="eastAsia" w:ascii="宋体" w:hAnsi="宋体" w:cs="宋体"/>
                      <w:bCs/>
                      <w:color w:val="auto"/>
                      <w:szCs w:val="21"/>
                      <w:highlight w:val="none"/>
                    </w:rPr>
                    <w:t>不能交付设备的，投标人向采购人偿付项目采购金额百分之</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u w:val="single"/>
                      <w:lang w:val="en-US" w:eastAsia="zh-CN"/>
                    </w:rPr>
                    <w:t>5</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的违约金；造成严重后果的，根据《深圳经济特区政府采购条例》第五十七条第（二）款规定，由主管部门对投标人进行处罚。</w:t>
                  </w:r>
                </w:p>
              </w:tc>
            </w:tr>
            <w:tr w14:paraId="29194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769EA5D7">
                  <w:pPr>
                    <w:jc w:val="center"/>
                    <w:rPr>
                      <w:rFonts w:hint="eastAsia" w:asciiTheme="minorEastAsia" w:hAnsiTheme="minorEastAsia" w:eastAsiaTheme="minorEastAsia"/>
                      <w:b/>
                      <w:color w:val="auto"/>
                      <w:szCs w:val="21"/>
                    </w:rPr>
                  </w:pPr>
                </w:p>
              </w:tc>
              <w:tc>
                <w:tcPr>
                  <w:tcW w:w="917" w:type="pct"/>
                  <w:vMerge w:val="continue"/>
                  <w:vAlign w:val="center"/>
                </w:tcPr>
                <w:p w14:paraId="5618917D">
                  <w:pPr>
                    <w:jc w:val="center"/>
                    <w:rPr>
                      <w:rFonts w:hint="eastAsia" w:asciiTheme="minorEastAsia" w:hAnsiTheme="minorEastAsia" w:eastAsiaTheme="minorEastAsia"/>
                      <w:color w:val="auto"/>
                      <w:szCs w:val="21"/>
                    </w:rPr>
                  </w:pPr>
                </w:p>
              </w:tc>
              <w:tc>
                <w:tcPr>
                  <w:tcW w:w="3377" w:type="pct"/>
                </w:tcPr>
                <w:p w14:paraId="26AF3F22">
                  <w:pPr>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3.4</w:t>
                  </w:r>
                  <w:r>
                    <w:rPr>
                      <w:rFonts w:hint="eastAsia" w:ascii="宋体" w:hAnsi="宋体"/>
                      <w:color w:val="auto"/>
                      <w:szCs w:val="21"/>
                      <w:highlight w:val="none"/>
                    </w:rPr>
                    <w:t>中标人</w:t>
                  </w:r>
                  <w:r>
                    <w:rPr>
                      <w:rFonts w:hint="eastAsia" w:ascii="宋体" w:hAnsi="宋体" w:cs="宋体"/>
                      <w:bCs/>
                      <w:color w:val="auto"/>
                      <w:szCs w:val="21"/>
                      <w:highlight w:val="none"/>
                    </w:rPr>
                    <w:t>逾期未交设备的，</w:t>
                  </w:r>
                  <w:r>
                    <w:rPr>
                      <w:rFonts w:hint="eastAsia" w:ascii="宋体" w:hAnsi="宋体"/>
                      <w:color w:val="auto"/>
                      <w:szCs w:val="21"/>
                      <w:highlight w:val="none"/>
                    </w:rPr>
                    <w:t>中标人</w:t>
                  </w:r>
                  <w:r>
                    <w:rPr>
                      <w:rFonts w:hint="eastAsia" w:ascii="宋体" w:hAnsi="宋体" w:cs="宋体"/>
                      <w:bCs/>
                      <w:color w:val="auto"/>
                      <w:szCs w:val="21"/>
                      <w:highlight w:val="none"/>
                    </w:rPr>
                    <w:t>向采购人每日偿付设备款千分之</w:t>
                  </w:r>
                  <w:r>
                    <w:rPr>
                      <w:rFonts w:hint="eastAsia" w:ascii="宋体" w:hAnsi="宋体" w:cs="宋体"/>
                      <w:bCs/>
                      <w:color w:val="auto"/>
                      <w:szCs w:val="21"/>
                      <w:highlight w:val="none"/>
                      <w:u w:val="single"/>
                    </w:rPr>
                    <w:t xml:space="preserve"> 1</w:t>
                  </w:r>
                  <w:r>
                    <w:rPr>
                      <w:rFonts w:hint="eastAsia" w:ascii="宋体" w:hAnsi="宋体" w:cs="宋体"/>
                      <w:bCs/>
                      <w:color w:val="auto"/>
                      <w:szCs w:val="21"/>
                      <w:highlight w:val="none"/>
                    </w:rPr>
                    <w:t>的违约金。中标人超过交货期限</w:t>
                  </w:r>
                  <w:r>
                    <w:rPr>
                      <w:rFonts w:hint="eastAsia" w:ascii="宋体" w:hAnsi="宋体" w:cs="宋体"/>
                      <w:bCs/>
                      <w:color w:val="auto"/>
                      <w:szCs w:val="21"/>
                      <w:highlight w:val="none"/>
                      <w:u w:val="single"/>
                    </w:rPr>
                    <w:t xml:space="preserve"> 10 </w:t>
                  </w:r>
                  <w:r>
                    <w:rPr>
                      <w:rFonts w:hint="eastAsia" w:ascii="宋体" w:hAnsi="宋体" w:cs="宋体"/>
                      <w:bCs/>
                      <w:color w:val="auto"/>
                      <w:szCs w:val="21"/>
                      <w:highlight w:val="none"/>
                    </w:rPr>
                    <w:t>日仍未交货，采购人有权解除合同</w:t>
                  </w:r>
                </w:p>
              </w:tc>
            </w:tr>
            <w:tr w14:paraId="3F623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705" w:type="pct"/>
                  <w:vMerge w:val="continue"/>
                  <w:vAlign w:val="center"/>
                </w:tcPr>
                <w:p w14:paraId="43449E08">
                  <w:pPr>
                    <w:jc w:val="center"/>
                    <w:rPr>
                      <w:rFonts w:hint="eastAsia" w:asciiTheme="minorEastAsia" w:hAnsiTheme="minorEastAsia" w:eastAsiaTheme="minorEastAsia"/>
                      <w:b/>
                      <w:color w:val="auto"/>
                      <w:szCs w:val="21"/>
                    </w:rPr>
                  </w:pPr>
                </w:p>
              </w:tc>
              <w:tc>
                <w:tcPr>
                  <w:tcW w:w="917" w:type="pct"/>
                  <w:vMerge w:val="continue"/>
                  <w:vAlign w:val="center"/>
                </w:tcPr>
                <w:p w14:paraId="2E8793C5">
                  <w:pPr>
                    <w:jc w:val="center"/>
                    <w:rPr>
                      <w:rFonts w:hint="eastAsia" w:asciiTheme="minorEastAsia" w:hAnsiTheme="minorEastAsia" w:eastAsiaTheme="minorEastAsia"/>
                      <w:color w:val="auto"/>
                      <w:szCs w:val="21"/>
                    </w:rPr>
                  </w:pPr>
                </w:p>
              </w:tc>
              <w:tc>
                <w:tcPr>
                  <w:tcW w:w="3377" w:type="pct"/>
                </w:tcPr>
                <w:p w14:paraId="2C25DC90">
                  <w:pPr>
                    <w:rPr>
                      <w:rFonts w:hint="eastAsia" w:ascii="宋体" w:hAnsi="宋体" w:cs="宋体"/>
                      <w:bCs/>
                      <w:color w:val="auto"/>
                      <w:szCs w:val="21"/>
                      <w:highlight w:val="none"/>
                    </w:rPr>
                  </w:pPr>
                  <w:r>
                    <w:rPr>
                      <w:rFonts w:hint="eastAsia" w:ascii="宋体" w:hAnsi="宋体" w:cs="宋体"/>
                      <w:b w:val="0"/>
                      <w:bCs/>
                      <w:color w:val="auto"/>
                      <w:szCs w:val="21"/>
                      <w:highlight w:val="none"/>
                      <w:lang w:val="en-US" w:eastAsia="zh-CN"/>
                    </w:rPr>
                    <w:t>3.5</w:t>
                  </w:r>
                  <w:r>
                    <w:rPr>
                      <w:rFonts w:hint="eastAsia" w:ascii="宋体" w:hAnsi="宋体"/>
                      <w:b w:val="0"/>
                      <w:bCs/>
                      <w:color w:val="auto"/>
                      <w:szCs w:val="21"/>
                    </w:rPr>
                    <w:t>中标人</w:t>
                  </w:r>
                  <w:r>
                    <w:rPr>
                      <w:rFonts w:hint="eastAsia" w:asciiTheme="minorEastAsia" w:hAnsiTheme="minorEastAsia" w:eastAsiaTheme="minorEastAsia"/>
                      <w:b w:val="0"/>
                      <w:bCs/>
                      <w:color w:val="auto"/>
                      <w:szCs w:val="21"/>
                    </w:rPr>
                    <w:t>逾期交货的，将被没收履约保证金并按主管部门相关规定处理</w:t>
                  </w:r>
                  <w:r>
                    <w:rPr>
                      <w:rFonts w:hint="eastAsia" w:asciiTheme="minorEastAsia" w:hAnsiTheme="minorEastAsia" w:eastAsiaTheme="minorEastAsia"/>
                      <w:b w:val="0"/>
                      <w:bCs/>
                      <w:color w:val="auto"/>
                      <w:szCs w:val="21"/>
                      <w:lang w:eastAsia="zh-CN"/>
                    </w:rPr>
                    <w:t>，</w:t>
                  </w:r>
                  <w:r>
                    <w:rPr>
                      <w:rFonts w:hint="eastAsia" w:ascii="宋体" w:hAnsi="宋体" w:cs="宋体"/>
                      <w:b w:val="0"/>
                      <w:bCs/>
                      <w:color w:val="auto"/>
                      <w:szCs w:val="21"/>
                      <w:highlight w:val="none"/>
                    </w:rPr>
                    <w:t>违约金先从由投标人履约保证金中扣除，若有不足部分则由</w:t>
                  </w:r>
                  <w:r>
                    <w:rPr>
                      <w:rFonts w:hint="eastAsia" w:ascii="宋体" w:hAnsi="宋体"/>
                      <w:b w:val="0"/>
                      <w:bCs/>
                      <w:color w:val="auto"/>
                      <w:szCs w:val="21"/>
                    </w:rPr>
                    <w:t>中标人</w:t>
                  </w:r>
                  <w:r>
                    <w:rPr>
                      <w:rFonts w:hint="eastAsia" w:ascii="宋体" w:hAnsi="宋体" w:cs="宋体"/>
                      <w:b w:val="0"/>
                      <w:bCs/>
                      <w:color w:val="auto"/>
                      <w:szCs w:val="21"/>
                      <w:highlight w:val="none"/>
                    </w:rPr>
                    <w:t>补齐。</w:t>
                  </w:r>
                </w:p>
              </w:tc>
            </w:tr>
            <w:tr w14:paraId="44D9F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705" w:type="pct"/>
                  <w:vMerge w:val="continue"/>
                  <w:vAlign w:val="center"/>
                </w:tcPr>
                <w:p w14:paraId="40BBD79C">
                  <w:pPr>
                    <w:jc w:val="center"/>
                    <w:rPr>
                      <w:rFonts w:asciiTheme="minorEastAsia" w:hAnsiTheme="minorEastAsia" w:eastAsiaTheme="minorEastAsia"/>
                      <w:b/>
                      <w:color w:val="auto"/>
                      <w:szCs w:val="21"/>
                    </w:rPr>
                  </w:pPr>
                </w:p>
              </w:tc>
              <w:tc>
                <w:tcPr>
                  <w:tcW w:w="917" w:type="pct"/>
                  <w:vMerge w:val="continue"/>
                  <w:vAlign w:val="center"/>
                </w:tcPr>
                <w:p w14:paraId="2F813878">
                  <w:pPr>
                    <w:jc w:val="center"/>
                    <w:rPr>
                      <w:rFonts w:asciiTheme="minorEastAsia" w:hAnsiTheme="minorEastAsia" w:eastAsiaTheme="minorEastAsia"/>
                      <w:color w:val="auto"/>
                      <w:szCs w:val="21"/>
                    </w:rPr>
                  </w:pPr>
                </w:p>
              </w:tc>
              <w:tc>
                <w:tcPr>
                  <w:tcW w:w="3377" w:type="pct"/>
                </w:tcPr>
                <w:p w14:paraId="6E6A2140">
                  <w:pPr>
                    <w:rPr>
                      <w:rFonts w:asciiTheme="minorEastAsia" w:hAnsiTheme="minorEastAsia" w:eastAsiaTheme="minorEastAsia"/>
                      <w:b/>
                      <w:color w:val="auto"/>
                      <w:szCs w:val="21"/>
                    </w:rPr>
                  </w:pPr>
                  <w:r>
                    <w:rPr>
                      <w:rFonts w:hint="eastAsia" w:asciiTheme="minorEastAsia" w:hAnsiTheme="minorEastAsia" w:eastAsiaTheme="minorEastAsia"/>
                      <w:b w:val="0"/>
                      <w:bCs/>
                      <w:color w:val="auto"/>
                      <w:szCs w:val="21"/>
                      <w:highlight w:val="none"/>
                    </w:rPr>
                    <w:t>3.</w:t>
                  </w:r>
                  <w:r>
                    <w:rPr>
                      <w:rFonts w:hint="eastAsia" w:asciiTheme="minorEastAsia" w:hAnsiTheme="minorEastAsia" w:eastAsiaTheme="minorEastAsia"/>
                      <w:b w:val="0"/>
                      <w:bCs/>
                      <w:color w:val="auto"/>
                      <w:szCs w:val="21"/>
                      <w:highlight w:val="none"/>
                      <w:lang w:val="en-US" w:eastAsia="zh-CN"/>
                    </w:rPr>
                    <w:t>6</w:t>
                  </w:r>
                  <w:r>
                    <w:rPr>
                      <w:rFonts w:hint="eastAsia" w:ascii="宋体" w:hAnsi="宋体"/>
                      <w:b w:val="0"/>
                      <w:bCs/>
                      <w:color w:val="auto"/>
                      <w:szCs w:val="21"/>
                      <w:highlight w:val="none"/>
                    </w:rPr>
                    <w:t>中标人</w:t>
                  </w:r>
                  <w:r>
                    <w:rPr>
                      <w:rFonts w:hint="eastAsia" w:asciiTheme="minorEastAsia" w:hAnsiTheme="minorEastAsia" w:eastAsiaTheme="minorEastAsia"/>
                      <w:b w:val="0"/>
                      <w:bCs/>
                      <w:color w:val="auto"/>
                      <w:szCs w:val="21"/>
                      <w:highlight w:val="none"/>
                    </w:rPr>
                    <w:t>所交付产品、工程或服务不符合其投标承诺的，或在投标阶段为了中标而盲目虚假承诺、低价恶性竞争，在履约阶段则通过偷工减料、以次充好而获取利润的，将被没收履约保证金，并被履约评价工作实施机构评为履约等级“差”并按主管部门相关规定处理。</w:t>
                  </w:r>
                </w:p>
              </w:tc>
            </w:tr>
            <w:tr w14:paraId="488BB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FA69039">
                  <w:pPr>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917" w:type="pct"/>
                  <w:vAlign w:val="center"/>
                </w:tcPr>
                <w:p w14:paraId="3FCA0324">
                  <w:pPr>
                    <w:jc w:val="center"/>
                    <w:rPr>
                      <w:rFonts w:asciiTheme="minorEastAsia" w:hAnsiTheme="minorEastAsia" w:eastAsiaTheme="minorEastAsia"/>
                      <w:b/>
                      <w:szCs w:val="21"/>
                    </w:rPr>
                  </w:pPr>
                  <w:r>
                    <w:rPr>
                      <w:rFonts w:hint="eastAsia" w:asciiTheme="minorEastAsia" w:hAnsiTheme="minorEastAsia" w:eastAsiaTheme="minorEastAsia"/>
                      <w:b/>
                      <w:szCs w:val="21"/>
                    </w:rPr>
                    <w:t>关于付款</w:t>
                  </w:r>
                </w:p>
              </w:tc>
              <w:tc>
                <w:tcPr>
                  <w:tcW w:w="3377" w:type="pct"/>
                </w:tcPr>
                <w:p w14:paraId="197379D2">
                  <w:pPr>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4.1</w:t>
                  </w:r>
                  <w:r>
                    <w:rPr>
                      <w:rFonts w:hint="eastAsia" w:asciiTheme="minorEastAsia" w:hAnsiTheme="minorEastAsia" w:eastAsiaTheme="minorEastAsia"/>
                      <w:b w:val="0"/>
                      <w:bCs/>
                      <w:color w:val="auto"/>
                      <w:szCs w:val="21"/>
                    </w:rPr>
                    <w:t>全部合同货物到达交货地点，并安装调试且验收合格后，</w:t>
                  </w:r>
                  <w:r>
                    <w:rPr>
                      <w:rFonts w:hint="eastAsia" w:asciiTheme="minorEastAsia" w:hAnsiTheme="minorEastAsia" w:eastAsiaTheme="minorEastAsia"/>
                      <w:b w:val="0"/>
                      <w:bCs/>
                      <w:color w:val="auto"/>
                      <w:szCs w:val="21"/>
                      <w:lang w:eastAsia="zh-CN"/>
                    </w:rPr>
                    <w:t>提交验收资料</w:t>
                  </w:r>
                  <w:r>
                    <w:rPr>
                      <w:rFonts w:hint="eastAsia" w:asciiTheme="minorEastAsia" w:hAnsiTheme="minorEastAsia" w:eastAsiaTheme="minorEastAsia"/>
                      <w:b w:val="0"/>
                      <w:bCs/>
                      <w:color w:val="auto"/>
                      <w:szCs w:val="21"/>
                    </w:rPr>
                    <w:t>，采购人在收到</w:t>
                  </w:r>
                  <w:r>
                    <w:rPr>
                      <w:rFonts w:hint="eastAsia" w:asciiTheme="minorEastAsia" w:hAnsiTheme="minorEastAsia" w:eastAsiaTheme="minorEastAsia"/>
                      <w:b w:val="0"/>
                      <w:bCs/>
                      <w:color w:val="auto"/>
                      <w:szCs w:val="21"/>
                      <w:lang w:eastAsia="zh-CN"/>
                    </w:rPr>
                    <w:t>验收资料和</w:t>
                  </w:r>
                  <w:r>
                    <w:rPr>
                      <w:rFonts w:hint="eastAsia" w:asciiTheme="minorEastAsia" w:hAnsiTheme="minorEastAsia" w:eastAsiaTheme="minorEastAsia"/>
                      <w:b w:val="0"/>
                      <w:bCs/>
                      <w:color w:val="auto"/>
                      <w:szCs w:val="21"/>
                    </w:rPr>
                    <w:t xml:space="preserve">发票后向中标人支付合同总价的 </w:t>
                  </w:r>
                  <w:r>
                    <w:rPr>
                      <w:rFonts w:hint="eastAsia" w:asciiTheme="minorEastAsia" w:hAnsiTheme="minorEastAsia" w:eastAsiaTheme="minorEastAsia"/>
                      <w:b w:val="0"/>
                      <w:bCs/>
                      <w:color w:val="auto"/>
                      <w:szCs w:val="21"/>
                      <w:u w:val="single"/>
                    </w:rPr>
                    <w:t xml:space="preserve"> </w:t>
                  </w:r>
                  <w:r>
                    <w:rPr>
                      <w:rFonts w:hint="eastAsia" w:asciiTheme="minorEastAsia" w:hAnsiTheme="minorEastAsia" w:eastAsiaTheme="minorEastAsia"/>
                      <w:b w:val="0"/>
                      <w:bCs/>
                      <w:color w:val="auto"/>
                      <w:szCs w:val="21"/>
                      <w:u w:val="single"/>
                      <w:lang w:val="en-US" w:eastAsia="zh-CN"/>
                    </w:rPr>
                    <w:t>100</w:t>
                  </w:r>
                  <w:r>
                    <w:rPr>
                      <w:rFonts w:hint="eastAsia" w:asciiTheme="minorEastAsia" w:hAnsiTheme="minorEastAsia" w:eastAsiaTheme="minorEastAsia"/>
                      <w:b w:val="0"/>
                      <w:bCs/>
                      <w:color w:val="auto"/>
                      <w:szCs w:val="21"/>
                      <w:u w:val="single"/>
                    </w:rPr>
                    <w:t xml:space="preserve"> </w:t>
                  </w:r>
                  <w:r>
                    <w:rPr>
                      <w:rFonts w:hint="eastAsia" w:asciiTheme="minorEastAsia" w:hAnsiTheme="minorEastAsia" w:eastAsiaTheme="minorEastAsia"/>
                      <w:b w:val="0"/>
                      <w:bCs/>
                      <w:color w:val="auto"/>
                      <w:szCs w:val="21"/>
                    </w:rPr>
                    <w:t xml:space="preserve">  %。</w:t>
                  </w:r>
                </w:p>
                <w:p w14:paraId="20391068">
                  <w:pPr>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4.2</w:t>
                  </w:r>
                  <w:r>
                    <w:rPr>
                      <w:rFonts w:hint="eastAsia" w:asciiTheme="minorEastAsia" w:hAnsiTheme="minorEastAsia" w:eastAsiaTheme="minorEastAsia"/>
                      <w:b w:val="0"/>
                      <w:bCs/>
                      <w:color w:val="auto"/>
                      <w:szCs w:val="21"/>
                    </w:rPr>
                    <w:t>每次</w:t>
                  </w:r>
                  <w:r>
                    <w:rPr>
                      <w:rFonts w:hint="eastAsia" w:asciiTheme="minorEastAsia" w:hAnsiTheme="minorEastAsia" w:eastAsiaTheme="minorEastAsia"/>
                      <w:b w:val="0"/>
                      <w:bCs/>
                      <w:color w:val="auto"/>
                      <w:szCs w:val="21"/>
                      <w:lang w:eastAsia="zh-TW"/>
                    </w:rPr>
                    <w:t>按合同支付款项前，</w:t>
                  </w:r>
                  <w:r>
                    <w:rPr>
                      <w:rFonts w:hint="eastAsia" w:asciiTheme="minorEastAsia" w:hAnsiTheme="minorEastAsia" w:eastAsiaTheme="minorEastAsia"/>
                      <w:b w:val="0"/>
                      <w:bCs/>
                      <w:color w:val="auto"/>
                      <w:szCs w:val="21"/>
                    </w:rPr>
                    <w:t>中标人应</w:t>
                  </w:r>
                  <w:r>
                    <w:rPr>
                      <w:rFonts w:hint="eastAsia" w:asciiTheme="minorEastAsia" w:hAnsiTheme="minorEastAsia" w:eastAsiaTheme="minorEastAsia"/>
                      <w:b w:val="0"/>
                      <w:bCs/>
                      <w:color w:val="auto"/>
                      <w:szCs w:val="21"/>
                      <w:lang w:eastAsia="zh-TW"/>
                    </w:rPr>
                    <w:t>向采购人提供与支付金额相符的有效发票，且收款方、出具发票方、合同乙方均必须与</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名称一致；</w:t>
                  </w:r>
                </w:p>
                <w:p w14:paraId="0E877BC1">
                  <w:pPr>
                    <w:rPr>
                      <w:rFonts w:asciiTheme="minorEastAsia" w:hAnsiTheme="minorEastAsia" w:eastAsiaTheme="minorEastAsia"/>
                      <w:b/>
                      <w:szCs w:val="21"/>
                    </w:rPr>
                  </w:pPr>
                  <w:r>
                    <w:rPr>
                      <w:rFonts w:hint="eastAsia" w:asciiTheme="minorEastAsia" w:hAnsiTheme="minorEastAsia" w:eastAsiaTheme="minorEastAsia"/>
                      <w:b w:val="0"/>
                      <w:bCs/>
                      <w:color w:val="auto"/>
                      <w:szCs w:val="21"/>
                      <w:lang w:val="en-US" w:eastAsia="zh-CN"/>
                    </w:rPr>
                    <w:t>4.3</w:t>
                  </w:r>
                  <w:r>
                    <w:rPr>
                      <w:rFonts w:hint="eastAsia" w:asciiTheme="minorEastAsia" w:hAnsiTheme="minorEastAsia" w:eastAsiaTheme="minorEastAsia"/>
                      <w:b w:val="0"/>
                      <w:bCs/>
                      <w:color w:val="auto"/>
                      <w:szCs w:val="21"/>
                    </w:rPr>
                    <w:t>违约责任：</w:t>
                  </w:r>
                  <w:r>
                    <w:rPr>
                      <w:rFonts w:hint="eastAsia" w:asciiTheme="minorEastAsia" w:hAnsiTheme="minorEastAsia" w:eastAsiaTheme="minorEastAsia"/>
                      <w:b w:val="0"/>
                      <w:bCs/>
                      <w:color w:val="auto"/>
                      <w:szCs w:val="21"/>
                      <w:lang w:eastAsia="zh-TW"/>
                    </w:rPr>
                    <w:t>采购人逾期</w:t>
                  </w:r>
                  <w:r>
                    <w:rPr>
                      <w:rFonts w:hint="eastAsia" w:asciiTheme="minorEastAsia" w:hAnsiTheme="minorEastAsia" w:eastAsiaTheme="minorEastAsia"/>
                      <w:b w:val="0"/>
                      <w:bCs/>
                      <w:color w:val="auto"/>
                      <w:szCs w:val="21"/>
                    </w:rPr>
                    <w:t>支付合同款项</w:t>
                  </w:r>
                  <w:r>
                    <w:rPr>
                      <w:rFonts w:hint="eastAsia" w:asciiTheme="minorEastAsia" w:hAnsiTheme="minorEastAsia" w:eastAsiaTheme="minorEastAsia"/>
                      <w:b w:val="0"/>
                      <w:bCs/>
                      <w:color w:val="auto"/>
                      <w:szCs w:val="21"/>
                      <w:lang w:eastAsia="zh-TW"/>
                    </w:rPr>
                    <w:t>的，除应当</w:t>
                  </w:r>
                  <w:r>
                    <w:rPr>
                      <w:rFonts w:hint="eastAsia" w:asciiTheme="minorEastAsia" w:hAnsiTheme="minorEastAsia" w:eastAsiaTheme="minorEastAsia"/>
                      <w:b w:val="0"/>
                      <w:bCs/>
                      <w:color w:val="auto"/>
                      <w:szCs w:val="21"/>
                    </w:rPr>
                    <w:t>支付合同款项</w:t>
                  </w:r>
                  <w:r>
                    <w:rPr>
                      <w:rFonts w:hint="eastAsia" w:asciiTheme="minorEastAsia" w:hAnsiTheme="minorEastAsia" w:eastAsiaTheme="minorEastAsia"/>
                      <w:b w:val="0"/>
                      <w:bCs/>
                      <w:color w:val="auto"/>
                      <w:szCs w:val="21"/>
                      <w:lang w:eastAsia="zh-TW"/>
                    </w:rPr>
                    <w:t>外，还应当每日按合同总价的</w:t>
                  </w:r>
                  <w:r>
                    <w:rPr>
                      <w:rFonts w:hint="eastAsia" w:asciiTheme="minorEastAsia" w:hAnsiTheme="minorEastAsia" w:eastAsiaTheme="minorEastAsia"/>
                      <w:b w:val="0"/>
                      <w:bCs/>
                      <w:color w:val="auto"/>
                      <w:szCs w:val="21"/>
                      <w:lang w:val="en-US" w:eastAsia="zh-CN"/>
                    </w:rPr>
                    <w:t>1</w:t>
                  </w:r>
                  <w:r>
                    <w:rPr>
                      <w:rFonts w:hint="eastAsia" w:asciiTheme="minorEastAsia" w:hAnsiTheme="minorEastAsia" w:eastAsiaTheme="minorEastAsia"/>
                      <w:b w:val="0"/>
                      <w:bCs/>
                      <w:color w:val="auto"/>
                      <w:szCs w:val="21"/>
                      <w:lang w:eastAsia="zh-TW"/>
                    </w:rPr>
                    <w:t>‰向</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偿付违约金，但因</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自身原因导致无法及时</w:t>
                  </w:r>
                  <w:r>
                    <w:rPr>
                      <w:rFonts w:hint="eastAsia" w:asciiTheme="minorEastAsia" w:hAnsiTheme="minorEastAsia" w:eastAsiaTheme="minorEastAsia"/>
                      <w:b w:val="0"/>
                      <w:bCs/>
                      <w:color w:val="auto"/>
                      <w:szCs w:val="21"/>
                    </w:rPr>
                    <w:t>支付</w:t>
                  </w:r>
                  <w:r>
                    <w:rPr>
                      <w:rFonts w:hint="eastAsia" w:asciiTheme="minorEastAsia" w:hAnsiTheme="minorEastAsia" w:eastAsiaTheme="minorEastAsia"/>
                      <w:b w:val="0"/>
                      <w:bCs/>
                      <w:color w:val="auto"/>
                      <w:szCs w:val="21"/>
                      <w:lang w:eastAsia="zh-TW"/>
                    </w:rPr>
                    <w:t>的除外</w:t>
                  </w:r>
                  <w:r>
                    <w:rPr>
                      <w:rFonts w:hint="eastAsia" w:asciiTheme="minorEastAsia" w:hAnsiTheme="minorEastAsia" w:eastAsiaTheme="minorEastAsia"/>
                      <w:b w:val="0"/>
                      <w:bCs/>
                      <w:color w:val="auto"/>
                      <w:szCs w:val="21"/>
                    </w:rPr>
                    <w:t>。</w:t>
                  </w:r>
                </w:p>
              </w:tc>
            </w:tr>
            <w:tr w14:paraId="4D75F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4A77DED2">
                  <w:pPr>
                    <w:jc w:val="center"/>
                    <w:rPr>
                      <w:rFonts w:asciiTheme="minorEastAsia" w:hAnsiTheme="minorEastAsia" w:eastAsiaTheme="minorEastAsia"/>
                      <w:b w:val="0"/>
                      <w:bCs w:val="0"/>
                      <w:color w:val="auto"/>
                      <w:szCs w:val="21"/>
                      <w:highlight w:val="none"/>
                    </w:rPr>
                  </w:pPr>
                  <w:r>
                    <w:rPr>
                      <w:rFonts w:hint="eastAsia" w:asciiTheme="minorEastAsia" w:hAnsiTheme="minorEastAsia" w:eastAsiaTheme="minorEastAsia"/>
                      <w:b w:val="0"/>
                      <w:bCs w:val="0"/>
                      <w:color w:val="auto"/>
                      <w:szCs w:val="21"/>
                      <w:highlight w:val="none"/>
                    </w:rPr>
                    <w:t>★5</w:t>
                  </w:r>
                </w:p>
              </w:tc>
              <w:tc>
                <w:tcPr>
                  <w:tcW w:w="917" w:type="pct"/>
                  <w:vAlign w:val="center"/>
                </w:tcPr>
                <w:p w14:paraId="1D7C030D">
                  <w:pPr>
                    <w:jc w:val="center"/>
                    <w:rPr>
                      <w:rFonts w:asciiTheme="minorEastAsia" w:hAnsiTheme="minorEastAsia" w:eastAsiaTheme="minorEastAsia"/>
                      <w:b w:val="0"/>
                      <w:bCs w:val="0"/>
                      <w:color w:val="auto"/>
                      <w:szCs w:val="21"/>
                      <w:highlight w:val="none"/>
                    </w:rPr>
                  </w:pPr>
                  <w:r>
                    <w:rPr>
                      <w:rFonts w:hint="eastAsia" w:asciiTheme="minorEastAsia" w:hAnsiTheme="minorEastAsia" w:eastAsiaTheme="minorEastAsia"/>
                      <w:b w:val="0"/>
                      <w:bCs w:val="0"/>
                      <w:color w:val="auto"/>
                      <w:szCs w:val="21"/>
                      <w:highlight w:val="none"/>
                    </w:rPr>
                    <w:t>项目（产品）要求</w:t>
                  </w:r>
                </w:p>
              </w:tc>
              <w:tc>
                <w:tcPr>
                  <w:tcW w:w="3377" w:type="pct"/>
                </w:tcPr>
                <w:p w14:paraId="06B88568">
                  <w:pPr>
                    <w:rPr>
                      <w:rFonts w:asciiTheme="minorEastAsia" w:hAnsiTheme="minorEastAsia" w:eastAsiaTheme="minorEastAsia"/>
                      <w:b w:val="0"/>
                      <w:bCs w:val="0"/>
                      <w:color w:val="auto"/>
                      <w:szCs w:val="21"/>
                      <w:highlight w:val="none"/>
                    </w:rPr>
                  </w:pPr>
                  <w:r>
                    <w:rPr>
                      <w:rFonts w:hint="eastAsia" w:cs="宋体" w:asciiTheme="minorEastAsia" w:hAnsiTheme="minorEastAsia" w:eastAsiaTheme="minorEastAsia"/>
                      <w:b w:val="0"/>
                      <w:bCs w:val="0"/>
                      <w:color w:val="auto"/>
                      <w:szCs w:val="21"/>
                      <w:highlight w:val="none"/>
                    </w:rPr>
                    <w:t>★</w:t>
                  </w:r>
                  <w:r>
                    <w:rPr>
                      <w:rFonts w:hint="eastAsia" w:asciiTheme="minorEastAsia" w:hAnsiTheme="minorEastAsia" w:eastAsiaTheme="minorEastAsia"/>
                      <w:b w:val="0"/>
                      <w:bCs w:val="0"/>
                      <w:color w:val="auto"/>
                      <w:szCs w:val="21"/>
                      <w:highlight w:val="none"/>
                    </w:rPr>
                    <w:t>5.1若所投产品为进口，则投标人必须提供由设备制造商或授权的中国总代理签署的合法有效的保修、维修承诺函（免费保修期满足招标文件要求）扫描件，原件备查；若所投产品为国产产品，则无需提供。</w:t>
                  </w:r>
                </w:p>
              </w:tc>
            </w:tr>
            <w:tr w14:paraId="02819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2FE3B20B">
                  <w:pPr>
                    <w:jc w:val="center"/>
                    <w:rPr>
                      <w:rFonts w:hint="eastAsia" w:asciiTheme="minorEastAsia" w:hAnsiTheme="minorEastAsia" w:eastAsiaTheme="minorEastAsia"/>
                      <w:b/>
                      <w:szCs w:val="21"/>
                      <w:lang w:val="en-US" w:eastAsia="zh-CN"/>
                    </w:rPr>
                  </w:pPr>
                  <w:r>
                    <w:rPr>
                      <w:rFonts w:hint="eastAsia" w:asciiTheme="minorEastAsia" w:hAnsiTheme="minorEastAsia" w:eastAsiaTheme="minorEastAsia" w:cstheme="minorEastAsia"/>
                      <w:b/>
                      <w:bCs/>
                      <w:color w:val="auto"/>
                      <w:sz w:val="21"/>
                      <w:szCs w:val="21"/>
                    </w:rPr>
                    <w:t>★</w:t>
                  </w:r>
                  <w:r>
                    <w:rPr>
                      <w:rFonts w:hint="eastAsia" w:asciiTheme="minorEastAsia" w:hAnsiTheme="minorEastAsia" w:eastAsiaTheme="minorEastAsia" w:cstheme="minorEastAsia"/>
                      <w:b/>
                      <w:bCs/>
                      <w:color w:val="auto"/>
                      <w:sz w:val="21"/>
                      <w:szCs w:val="21"/>
                      <w:lang w:val="en-US" w:eastAsia="zh-CN"/>
                    </w:rPr>
                    <w:t>6</w:t>
                  </w:r>
                </w:p>
              </w:tc>
              <w:tc>
                <w:tcPr>
                  <w:tcW w:w="917" w:type="pct"/>
                  <w:vAlign w:val="center"/>
                </w:tcPr>
                <w:p w14:paraId="781EC5DB">
                  <w:pPr>
                    <w:numPr>
                      <w:ilvl w:val="0"/>
                      <w:numId w:val="0"/>
                    </w:numPr>
                    <w:tabs>
                      <w:tab w:val="left" w:pos="540"/>
                    </w:tabs>
                    <w:adjustRightInd w:val="0"/>
                    <w:snapToGrid w:val="0"/>
                    <w:spacing w:line="360" w:lineRule="auto"/>
                    <w:ind w:leftChars="0"/>
                    <w:jc w:val="center"/>
                    <w:rPr>
                      <w:rFonts w:asciiTheme="minorEastAsia" w:hAnsiTheme="minorEastAsia" w:eastAsiaTheme="minorEastAsia"/>
                      <w:b/>
                      <w:szCs w:val="21"/>
                    </w:rPr>
                  </w:pPr>
                  <w:r>
                    <w:rPr>
                      <w:rFonts w:hint="eastAsia" w:asciiTheme="minorEastAsia" w:hAnsiTheme="minorEastAsia" w:eastAsiaTheme="minorEastAsia" w:cstheme="minorEastAsia"/>
                      <w:b/>
                      <w:bCs/>
                      <w:color w:val="auto"/>
                      <w:sz w:val="21"/>
                      <w:szCs w:val="21"/>
                    </w:rPr>
                    <w:t>知识产权合规承诺</w:t>
                  </w:r>
                </w:p>
              </w:tc>
              <w:tc>
                <w:tcPr>
                  <w:tcW w:w="3377" w:type="pct"/>
                </w:tcPr>
                <w:p w14:paraId="50DDD17F">
                  <w:pPr>
                    <w:rPr>
                      <w:rFonts w:hint="eastAsia" w:ascii="宋体" w:hAnsi="宋体" w:eastAsia="宋体" w:cs="宋体"/>
                      <w:color w:val="auto"/>
                      <w:kern w:val="0"/>
                      <w:sz w:val="21"/>
                      <w:szCs w:val="21"/>
                      <w:lang w:val="en-US"/>
                    </w:rPr>
                  </w:pPr>
                  <w:r>
                    <w:rPr>
                      <w:rFonts w:hint="eastAsia" w:ascii="宋体" w:hAnsi="宋体" w:cs="宋体"/>
                      <w:color w:val="auto"/>
                      <w:kern w:val="0"/>
                      <w:sz w:val="21"/>
                      <w:szCs w:val="21"/>
                      <w:lang w:val="en-US" w:eastAsia="zh-CN" w:bidi="ar"/>
                    </w:rPr>
                    <w:t>6.1</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在履行合同的过程中不得侵犯他人知识产权，不得提供虚假知识产权申请材料或者违背知识产权合规性承诺，否则依法追究其违约等责任，并将其失信违法信息依法纳入公共信用信息系统。</w:t>
                  </w:r>
                </w:p>
                <w:p w14:paraId="0EB06F22">
                  <w:pPr>
                    <w:rPr>
                      <w:rFonts w:hint="eastAsia" w:ascii="宋体" w:hAnsi="宋体" w:eastAsia="宋体" w:cs="宋体"/>
                      <w:color w:val="auto"/>
                      <w:kern w:val="0"/>
                      <w:sz w:val="21"/>
                      <w:szCs w:val="21"/>
                      <w:lang w:val="en-US"/>
                    </w:rPr>
                  </w:pPr>
                  <w:r>
                    <w:rPr>
                      <w:rFonts w:hint="eastAsia" w:ascii="宋体" w:hAnsi="宋体" w:cs="宋体"/>
                      <w:color w:val="auto"/>
                      <w:kern w:val="0"/>
                      <w:sz w:val="21"/>
                      <w:szCs w:val="21"/>
                      <w:lang w:val="en-US" w:eastAsia="zh-CN" w:bidi="ar"/>
                    </w:rPr>
                    <w:t>6.2</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应保证采购人在使用该货物或其任何一部分时免受第三方提出侵犯其专利、商标、版权等知识产权或商品名称及其他权利的起诉及索赔。若采购人因此被第三方起诉或以其它方式追究责任，</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应赔偿因采购人被第三方索赔所引起的一切损失，包括但不限于采购人所支付的侵权损害赔偿费、律师费、诉讼费、仲裁费、办案差旅费等因应诉、沟通协调所发的一切费用。</w:t>
                  </w:r>
                </w:p>
                <w:p w14:paraId="0B1F2484">
                  <w:pPr>
                    <w:numPr>
                      <w:ilvl w:val="0"/>
                      <w:numId w:val="0"/>
                    </w:numPr>
                    <w:tabs>
                      <w:tab w:val="left" w:pos="540"/>
                    </w:tabs>
                    <w:adjustRightInd w:val="0"/>
                    <w:snapToGrid w:val="0"/>
                    <w:spacing w:line="360" w:lineRule="auto"/>
                    <w:ind w:leftChars="0"/>
                    <w:rPr>
                      <w:rFonts w:asciiTheme="minorEastAsia" w:hAnsiTheme="minorEastAsia" w:eastAsiaTheme="minorEastAsia"/>
                      <w:b/>
                      <w:szCs w:val="21"/>
                    </w:rPr>
                  </w:pPr>
                  <w:r>
                    <w:rPr>
                      <w:rFonts w:hint="eastAsia" w:ascii="宋体" w:hAnsi="宋体" w:cs="宋体"/>
                      <w:bCs/>
                      <w:color w:val="auto"/>
                      <w:kern w:val="0"/>
                      <w:sz w:val="21"/>
                      <w:szCs w:val="21"/>
                      <w:lang w:val="en-US" w:eastAsia="zh-CN" w:bidi="ar"/>
                    </w:rPr>
                    <w:t>6.3</w:t>
                  </w:r>
                  <w:r>
                    <w:rPr>
                      <w:rFonts w:hint="eastAsia" w:ascii="宋体" w:hAnsi="宋体" w:cs="宋体"/>
                      <w:bCs/>
                      <w:color w:val="000000"/>
                      <w:szCs w:val="21"/>
                      <w:highlight w:val="none"/>
                    </w:rPr>
                    <w:t>投标人</w:t>
                  </w:r>
                  <w:r>
                    <w:rPr>
                      <w:rFonts w:hint="eastAsia" w:ascii="宋体" w:hAnsi="宋体" w:eastAsia="宋体" w:cs="宋体"/>
                      <w:bCs/>
                      <w:color w:val="auto"/>
                      <w:kern w:val="0"/>
                      <w:sz w:val="21"/>
                      <w:szCs w:val="21"/>
                      <w:lang w:val="en-US" w:eastAsia="zh-CN" w:bidi="ar"/>
                    </w:rPr>
                    <w:t>实施本项目所形成成果的知识产权归采购人所有，未经采购人许可，</w:t>
                  </w:r>
                  <w:r>
                    <w:rPr>
                      <w:rFonts w:hint="eastAsia" w:ascii="宋体" w:hAnsi="宋体" w:cs="宋体"/>
                      <w:bCs/>
                      <w:color w:val="000000"/>
                      <w:szCs w:val="21"/>
                      <w:highlight w:val="none"/>
                    </w:rPr>
                    <w:t>投标人</w:t>
                  </w:r>
                  <w:r>
                    <w:rPr>
                      <w:rFonts w:hint="eastAsia" w:ascii="宋体" w:hAnsi="宋体" w:eastAsia="宋体" w:cs="宋体"/>
                      <w:bCs/>
                      <w:color w:val="auto"/>
                      <w:kern w:val="0"/>
                      <w:sz w:val="21"/>
                      <w:szCs w:val="21"/>
                      <w:lang w:val="en-US" w:eastAsia="zh-CN" w:bidi="ar"/>
                    </w:rPr>
                    <w:t>不得随意使用。</w:t>
                  </w:r>
                </w:p>
              </w:tc>
            </w:tr>
            <w:tr w14:paraId="0B775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20E143CF">
                  <w:pPr>
                    <w:jc w:val="center"/>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val="en-US" w:eastAsia="zh-CN"/>
                    </w:rPr>
                    <w:t>7</w:t>
                  </w:r>
                </w:p>
              </w:tc>
              <w:tc>
                <w:tcPr>
                  <w:tcW w:w="917" w:type="pct"/>
                  <w:vAlign w:val="center"/>
                </w:tcPr>
                <w:p w14:paraId="6DAF8A9B">
                  <w:pPr>
                    <w:jc w:val="center"/>
                    <w:rPr>
                      <w:rFonts w:asciiTheme="minorEastAsia" w:hAnsiTheme="minorEastAsia" w:eastAsiaTheme="minorEastAsia"/>
                      <w:b/>
                      <w:szCs w:val="21"/>
                    </w:rPr>
                  </w:pPr>
                  <w:r>
                    <w:rPr>
                      <w:rFonts w:hint="eastAsia" w:asciiTheme="minorEastAsia" w:hAnsiTheme="minorEastAsia" w:eastAsiaTheme="minorEastAsia"/>
                      <w:b/>
                      <w:szCs w:val="21"/>
                    </w:rPr>
                    <w:t>履约保证金</w:t>
                  </w:r>
                </w:p>
              </w:tc>
              <w:tc>
                <w:tcPr>
                  <w:tcW w:w="3377" w:type="pct"/>
                </w:tcPr>
                <w:p w14:paraId="10C39453">
                  <w:pPr>
                    <w:numPr>
                      <w:ilvl w:val="0"/>
                      <w:numId w:val="1"/>
                    </w:numPr>
                    <w:adjustRightInd w:val="0"/>
                    <w:snapToGrid w:val="0"/>
                    <w:spacing w:line="360" w:lineRule="auto"/>
                    <w:rPr>
                      <w:rFonts w:hint="eastAsia" w:ascii="宋体" w:hAnsi="宋体"/>
                      <w:szCs w:val="21"/>
                      <w:highlight w:val="none"/>
                    </w:rPr>
                  </w:pPr>
                  <w:r>
                    <w:rPr>
                      <w:rFonts w:hint="eastAsia" w:ascii="宋体" w:hAnsi="宋体"/>
                      <w:szCs w:val="21"/>
                      <w:highlight w:val="none"/>
                    </w:rPr>
                    <w:t>提交说明</w:t>
                  </w:r>
                </w:p>
                <w:p w14:paraId="57264B88">
                  <w:pPr>
                    <w:numPr>
                      <w:ilvl w:val="0"/>
                      <w:numId w:val="2"/>
                    </w:numPr>
                    <w:tabs>
                      <w:tab w:val="clear" w:pos="840"/>
                    </w:tabs>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时间：</w:t>
                  </w:r>
                  <w:r>
                    <w:rPr>
                      <w:rFonts w:hint="eastAsia" w:ascii="宋体" w:hAnsi="宋体" w:eastAsia="宋体" w:cs="宋体"/>
                      <w:sz w:val="21"/>
                      <w:szCs w:val="21"/>
                      <w:highlight w:val="none"/>
                      <w:lang w:eastAsia="zh-CN"/>
                    </w:rPr>
                    <w:t>收到中标通知书后</w:t>
                  </w:r>
                  <w:r>
                    <w:rPr>
                      <w:rFonts w:hint="eastAsia" w:ascii="宋体" w:hAnsi="宋体" w:eastAsia="宋体" w:cs="宋体"/>
                      <w:sz w:val="21"/>
                      <w:szCs w:val="21"/>
                      <w:shd w:val="clear" w:fill="FFFF00"/>
                    </w:rPr>
                    <w:t>五个工作日内提交</w:t>
                  </w:r>
                  <w:r>
                    <w:rPr>
                      <w:rFonts w:hint="eastAsia" w:ascii="宋体" w:hAnsi="宋体" w:eastAsia="宋体" w:cs="宋体"/>
                      <w:sz w:val="21"/>
                      <w:szCs w:val="21"/>
                      <w:highlight w:val="none"/>
                    </w:rPr>
                    <w:t>；</w:t>
                  </w:r>
                </w:p>
                <w:p w14:paraId="280242CB">
                  <w:pPr>
                    <w:numPr>
                      <w:ilvl w:val="0"/>
                      <w:numId w:val="2"/>
                    </w:numPr>
                    <w:tabs>
                      <w:tab w:val="clear" w:pos="840"/>
                    </w:tabs>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金额：合同（成交）金额的</w:t>
                  </w:r>
                  <w:r>
                    <w:rPr>
                      <w:rFonts w:hint="eastAsia" w:ascii="宋体" w:hAnsi="宋体" w:eastAsia="宋体" w:cs="宋体"/>
                      <w:sz w:val="21"/>
                      <w:szCs w:val="21"/>
                      <w:highlight w:val="none"/>
                      <w:u w:val="single"/>
                      <w:lang w:val="en-US" w:eastAsia="zh-CN"/>
                    </w:rPr>
                    <w:t xml:space="preserve">   5   </w:t>
                  </w:r>
                  <w:r>
                    <w:rPr>
                      <w:rFonts w:hint="eastAsia" w:ascii="宋体" w:hAnsi="宋体" w:eastAsia="宋体" w:cs="宋体"/>
                      <w:sz w:val="21"/>
                      <w:szCs w:val="21"/>
                      <w:highlight w:val="none"/>
                    </w:rPr>
                    <w:t>%；</w:t>
                  </w:r>
                </w:p>
                <w:p w14:paraId="2A4645C4">
                  <w:pPr>
                    <w:numPr>
                      <w:ilvl w:val="0"/>
                      <w:numId w:val="2"/>
                    </w:numPr>
                    <w:tabs>
                      <w:tab w:val="clear" w:pos="840"/>
                    </w:tabs>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方式：中标人自主选择；</w:t>
                  </w:r>
                </w:p>
                <w:p w14:paraId="32C919D0">
                  <w:pPr>
                    <w:numPr>
                      <w:ilvl w:val="0"/>
                      <w:numId w:val="1"/>
                    </w:numPr>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退还说明：</w:t>
                  </w:r>
                </w:p>
                <w:p w14:paraId="70A98B7C">
                  <w:pPr>
                    <w:numPr>
                      <w:ilvl w:val="0"/>
                      <w:numId w:val="3"/>
                    </w:numPr>
                    <w:tabs>
                      <w:tab w:val="clear" w:pos="840"/>
                    </w:tabs>
                    <w:snapToGrid w:val="0"/>
                    <w:spacing w:line="360" w:lineRule="auto"/>
                    <w:ind w:left="674" w:hanging="284"/>
                    <w:rPr>
                      <w:rFonts w:hint="eastAsia" w:ascii="宋体" w:hAnsi="宋体"/>
                      <w:szCs w:val="21"/>
                    </w:rPr>
                  </w:pPr>
                  <w:r>
                    <w:rPr>
                      <w:rFonts w:hint="eastAsia" w:ascii="宋体" w:hAnsi="宋体"/>
                      <w:szCs w:val="21"/>
                    </w:rPr>
                    <w:t>时间、方式和条件：</w:t>
                  </w:r>
                  <w:r>
                    <w:rPr>
                      <w:rFonts w:hint="eastAsia" w:ascii="宋体" w:hAnsi="宋体" w:cs="宋体"/>
                      <w:bCs/>
                      <w:color w:val="000000"/>
                      <w:szCs w:val="21"/>
                      <w:highlight w:val="none"/>
                      <w:lang w:eastAsia="zh-CN"/>
                    </w:rPr>
                    <w:t>中标</w:t>
                  </w:r>
                  <w:r>
                    <w:rPr>
                      <w:rFonts w:hint="eastAsia" w:ascii="宋体" w:hAnsi="宋体" w:cs="宋体"/>
                      <w:bCs/>
                      <w:color w:val="000000"/>
                      <w:szCs w:val="21"/>
                      <w:highlight w:val="none"/>
                    </w:rPr>
                    <w:t>人</w:t>
                  </w:r>
                  <w:r>
                    <w:rPr>
                      <w:rFonts w:hint="eastAsia"/>
                      <w:lang w:eastAsia="zh-CN"/>
                    </w:rPr>
                    <w:t>供货完成调试、验收、培训且提供了厂家（或厂家授权）的售后服务承诺书后</w:t>
                  </w:r>
                  <w:r>
                    <w:rPr>
                      <w:rFonts w:hint="eastAsia"/>
                      <w:color w:val="auto"/>
                      <w:szCs w:val="21"/>
                    </w:rPr>
                    <w:t>向甲方申请退回该履约保证金，甲方收到申请审核同意后，无息返还乙方的履约保证金。因乙方原因而未能达到本项目验收标准或验收不通过的，履约保证金不予退还。</w:t>
                  </w:r>
                </w:p>
                <w:p w14:paraId="13B0C3ED">
                  <w:pPr>
                    <w:numPr>
                      <w:ilvl w:val="0"/>
                      <w:numId w:val="3"/>
                    </w:numPr>
                    <w:tabs>
                      <w:tab w:val="clear" w:pos="840"/>
                    </w:tabs>
                    <w:snapToGrid w:val="0"/>
                    <w:spacing w:line="360" w:lineRule="auto"/>
                    <w:ind w:left="674" w:hanging="284"/>
                    <w:rPr>
                      <w:rFonts w:hint="eastAsia" w:ascii="宋体" w:hAnsi="宋体"/>
                      <w:szCs w:val="21"/>
                    </w:rPr>
                  </w:pPr>
                  <w:r>
                    <w:rPr>
                      <w:rFonts w:hint="eastAsia" w:ascii="宋体" w:hAnsi="宋体"/>
                      <w:szCs w:val="21"/>
                    </w:rPr>
                    <w:t>违约责任：</w:t>
                  </w:r>
                  <w:r>
                    <w:rPr>
                      <w:rFonts w:hint="eastAsia" w:ascii="宋体" w:hAnsi="宋体" w:eastAsia="宋体" w:cs="宋体"/>
                      <w:sz w:val="21"/>
                      <w:szCs w:val="21"/>
                    </w:rPr>
                    <w:t>采购人逾期退还履约保证金的，除应当退还履约保证</w:t>
                  </w:r>
                  <w:r>
                    <w:rPr>
                      <w:rFonts w:hint="eastAsia" w:ascii="宋体" w:hAnsi="宋体"/>
                      <w:szCs w:val="21"/>
                    </w:rPr>
                    <w:t>金本金外，还应当每日按合同总价的</w:t>
                  </w:r>
                  <w:r>
                    <w:rPr>
                      <w:rFonts w:hint="eastAsia" w:ascii="宋体" w:hAnsi="宋体"/>
                      <w:szCs w:val="21"/>
                      <w:lang w:val="en-US" w:eastAsia="zh-CN"/>
                    </w:rPr>
                    <w:t>1</w:t>
                  </w:r>
                  <w:r>
                    <w:rPr>
                      <w:rFonts w:hint="eastAsia" w:ascii="宋体" w:hAnsi="宋体"/>
                      <w:szCs w:val="21"/>
                    </w:rPr>
                    <w:t>‰向中标人偿付违约金，但因</w:t>
                  </w:r>
                  <w:r>
                    <w:rPr>
                      <w:rFonts w:hint="eastAsia" w:ascii="宋体" w:hAnsi="宋体" w:cs="宋体"/>
                      <w:bCs/>
                      <w:color w:val="000000"/>
                      <w:szCs w:val="21"/>
                      <w:highlight w:val="none"/>
                    </w:rPr>
                    <w:t>投标人</w:t>
                  </w:r>
                  <w:r>
                    <w:rPr>
                      <w:rFonts w:hint="eastAsia" w:ascii="宋体" w:hAnsi="宋体"/>
                      <w:szCs w:val="21"/>
                    </w:rPr>
                    <w:t>自身原因导致无法及时退还的除外。</w:t>
                  </w:r>
                </w:p>
                <w:p w14:paraId="7E2F9C6E">
                  <w:pPr>
                    <w:numPr>
                      <w:ilvl w:val="0"/>
                      <w:numId w:val="3"/>
                    </w:numPr>
                    <w:tabs>
                      <w:tab w:val="clear" w:pos="840"/>
                    </w:tabs>
                    <w:snapToGrid w:val="0"/>
                    <w:spacing w:line="360" w:lineRule="auto"/>
                    <w:ind w:left="674" w:hanging="284"/>
                    <w:rPr>
                      <w:rFonts w:asciiTheme="minorEastAsia" w:hAnsiTheme="minorEastAsia" w:eastAsiaTheme="minorEastAsia"/>
                      <w:b/>
                      <w:szCs w:val="21"/>
                    </w:rPr>
                  </w:pPr>
                  <w:r>
                    <w:rPr>
                      <w:rFonts w:hint="eastAsia" w:ascii="宋体" w:hAnsi="宋体"/>
                      <w:szCs w:val="21"/>
                      <w:highlight w:val="none"/>
                    </w:rPr>
                    <w:t>中标人违反合同及其附件约定的任何义务，采购人有权在履约保证金中直接扣除</w:t>
                  </w:r>
                  <w:r>
                    <w:rPr>
                      <w:rFonts w:hint="eastAsia" w:ascii="宋体" w:hAnsi="宋体" w:cs="宋体"/>
                      <w:bCs/>
                      <w:szCs w:val="21"/>
                      <w:highlight w:val="none"/>
                    </w:rPr>
                    <w:t>投标人</w:t>
                  </w:r>
                  <w:r>
                    <w:rPr>
                      <w:rFonts w:hint="eastAsia" w:ascii="宋体" w:hAnsi="宋体"/>
                      <w:szCs w:val="21"/>
                      <w:highlight w:val="none"/>
                    </w:rPr>
                    <w:t>应向采购人支付的违约金或损失赔偿额，如有不足的，中标人应对超过的部分予以赔偿。</w:t>
                  </w:r>
                </w:p>
              </w:tc>
            </w:tr>
            <w:tr w14:paraId="1F4D2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68142D2">
                  <w:pPr>
                    <w:jc w:val="center"/>
                    <w:rPr>
                      <w:rFonts w:hint="eastAsia" w:cs="Times New Roman" w:asciiTheme="minorEastAsia" w:hAnsiTheme="minorEastAsia" w:eastAsiaTheme="minorEastAsia"/>
                      <w:b/>
                      <w:kern w:val="2"/>
                      <w:sz w:val="21"/>
                      <w:szCs w:val="21"/>
                      <w:lang w:val="en-US" w:eastAsia="zh-CN" w:bidi="ar-SA"/>
                    </w:rPr>
                  </w:pPr>
                  <w:r>
                    <w:rPr>
                      <w:rFonts w:hint="eastAsia" w:asciiTheme="minorEastAsia" w:hAnsiTheme="minorEastAsia" w:eastAsiaTheme="minorEastAsia"/>
                      <w:b/>
                      <w:szCs w:val="21"/>
                      <w:lang w:val="en-US" w:eastAsia="zh-CN"/>
                    </w:rPr>
                    <w:t>8</w:t>
                  </w:r>
                </w:p>
              </w:tc>
              <w:tc>
                <w:tcPr>
                  <w:tcW w:w="917" w:type="pct"/>
                  <w:vAlign w:val="top"/>
                </w:tcPr>
                <w:p w14:paraId="6B785005">
                  <w:pPr>
                    <w:rPr>
                      <w:rFonts w:cs="Times New Roman" w:asciiTheme="minorEastAsia" w:hAnsiTheme="minorEastAsia" w:eastAsiaTheme="minorEastAsia"/>
                      <w:b/>
                      <w:kern w:val="2"/>
                      <w:sz w:val="21"/>
                      <w:szCs w:val="21"/>
                      <w:lang w:val="en-US" w:eastAsia="zh-CN" w:bidi="ar-SA"/>
                    </w:rPr>
                  </w:pPr>
                </w:p>
              </w:tc>
              <w:tc>
                <w:tcPr>
                  <w:tcW w:w="3377" w:type="pct"/>
                  <w:vAlign w:val="center"/>
                </w:tcPr>
                <w:p w14:paraId="5F54E364">
                  <w:pPr>
                    <w:spacing w:line="360" w:lineRule="auto"/>
                    <w:rPr>
                      <w:rFonts w:hint="eastAsia" w:ascii="宋体" w:hAnsi="宋体" w:eastAsia="宋体" w:cs="宋体"/>
                      <w:bCs/>
                      <w:color w:val="000000"/>
                      <w:kern w:val="2"/>
                      <w:sz w:val="21"/>
                      <w:szCs w:val="21"/>
                      <w:highlight w:val="none"/>
                      <w:lang w:val="en-US" w:eastAsia="zh-CN" w:bidi="ar-SA"/>
                    </w:rPr>
                  </w:pPr>
                  <w:r>
                    <w:rPr>
                      <w:rFonts w:hint="eastAsia" w:cs="宋体" w:asciiTheme="minorEastAsia" w:hAnsiTheme="minorEastAsia" w:eastAsiaTheme="minorEastAsia"/>
                      <w:b w:val="0"/>
                      <w:bCs/>
                      <w:color w:val="auto"/>
                      <w:szCs w:val="21"/>
                    </w:rPr>
                    <w:t>★</w:t>
                  </w:r>
                  <w:r>
                    <w:rPr>
                      <w:rFonts w:hint="eastAsia" w:ascii="宋体" w:hAnsi="宋体" w:cs="宋体"/>
                      <w:b w:val="0"/>
                      <w:bCs/>
                      <w:color w:val="auto"/>
                      <w:szCs w:val="21"/>
                      <w:highlight w:val="none"/>
                    </w:rPr>
                    <w:t>8.1投标人所投产品具备相关主管部门要求的认证资料：所投产品为第一类医疗器械的，提供监督管理部门签发的有效的《医疗器械备案凭证》扫描件，原件备查；所投产品为第二、三类医疗器械的，提供监督管理部门签发的涵盖所投产品的《医疗器械注册证》(有效期内)扫描件，原件备查。</w:t>
                  </w:r>
                </w:p>
              </w:tc>
            </w:tr>
          </w:tbl>
          <w:p w14:paraId="58DCBAA7">
            <w:pPr>
              <w:spacing w:before="120" w:after="120" w:line="360" w:lineRule="auto"/>
              <w:outlineLvl w:val="2"/>
              <w:rPr>
                <w:rFonts w:cs="宋体" w:asciiTheme="minorEastAsia" w:hAnsiTheme="minorEastAsia" w:eastAsiaTheme="minorEastAsia"/>
                <w:color w:val="000000" w:themeColor="text1"/>
                <w:szCs w:val="21"/>
                <w14:textFill>
                  <w14:solidFill>
                    <w14:schemeClr w14:val="tx1"/>
                  </w14:solidFill>
                </w14:textFill>
              </w:rPr>
            </w:pPr>
          </w:p>
        </w:tc>
      </w:tr>
    </w:tbl>
    <w:p w14:paraId="05140C00">
      <w:pPr>
        <w:pStyle w:val="12"/>
        <w:rPr>
          <w:rFonts w:hint="eastAsia"/>
        </w:rPr>
      </w:pPr>
    </w:p>
    <w:p w14:paraId="0BB3282E">
      <w:pPr>
        <w:rPr>
          <w:rFonts w:hint="eastAsia" w:ascii="宋体" w:hAnsi="宋体"/>
          <w:b/>
          <w:color w:val="FF0000"/>
          <w:sz w:val="32"/>
          <w:szCs w:val="32"/>
        </w:rPr>
      </w:pPr>
      <w:r>
        <w:rPr>
          <w:rFonts w:hint="eastAsia" w:ascii="宋体" w:hAnsi="宋体"/>
          <w:b/>
          <w:color w:val="FF0000"/>
          <w:sz w:val="32"/>
          <w:szCs w:val="32"/>
        </w:rPr>
        <w:br w:type="page"/>
      </w:r>
    </w:p>
    <w:p w14:paraId="097B91B8">
      <w:pPr>
        <w:tabs>
          <w:tab w:val="left" w:pos="2815"/>
        </w:tabs>
        <w:jc w:val="left"/>
        <w:rPr>
          <w:rFonts w:ascii="宋体" w:hAnsi="宋体"/>
          <w:b/>
          <w:bCs/>
          <w:color w:val="FF0000"/>
          <w:sz w:val="28"/>
          <w:szCs w:val="32"/>
        </w:rPr>
      </w:pPr>
      <w:r>
        <w:rPr>
          <w:rFonts w:hint="eastAsia" w:ascii="宋体" w:hAnsi="宋体"/>
          <w:b/>
          <w:bCs/>
          <w:color w:val="FF0000"/>
          <w:sz w:val="28"/>
          <w:szCs w:val="32"/>
        </w:rPr>
        <w:t>综合评分法</w:t>
      </w:r>
      <w:r>
        <w:rPr>
          <w:rFonts w:ascii="宋体" w:hAnsi="宋体"/>
          <w:b/>
          <w:bCs/>
          <w:color w:val="FF0000"/>
          <w:sz w:val="28"/>
          <w:szCs w:val="32"/>
        </w:rPr>
        <w:t>评标信息</w:t>
      </w:r>
    </w:p>
    <w:tbl>
      <w:tblPr>
        <w:tblStyle w:val="16"/>
        <w:tblW w:w="9281" w:type="dxa"/>
        <w:jc w:val="center"/>
        <w:tblCellSpacing w:w="0" w:type="dxa"/>
        <w:tblLayout w:type="autofit"/>
        <w:tblCellMar>
          <w:top w:w="45" w:type="dxa"/>
          <w:left w:w="45" w:type="dxa"/>
          <w:bottom w:w="45" w:type="dxa"/>
          <w:right w:w="45" w:type="dxa"/>
        </w:tblCellMar>
      </w:tblPr>
      <w:tblGrid>
        <w:gridCol w:w="9281"/>
      </w:tblGrid>
      <w:tr w14:paraId="3C1B0D96">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084D5F31">
            <w:pPr>
              <w:rPr>
                <w:b/>
                <w:bCs/>
                <w:color w:val="FF0000"/>
              </w:rPr>
            </w:pPr>
            <w:r>
              <w:rPr>
                <w:rFonts w:hint="eastAsia"/>
                <w:b/>
                <w:bCs/>
                <w:color w:val="FF0000"/>
              </w:rPr>
              <w:t xml:space="preserve">    </w:t>
            </w:r>
          </w:p>
          <w:p w14:paraId="7DC28A1B">
            <w:pPr>
              <w:ind w:firstLine="422" w:firstLineChars="200"/>
              <w:rPr>
                <w:b/>
                <w:bCs/>
                <w:color w:val="FF0000"/>
              </w:rPr>
            </w:pPr>
            <w:r>
              <w:rPr>
                <w:rFonts w:hint="eastAsia"/>
                <w:b/>
                <w:bCs/>
                <w:color w:val="FF0000"/>
              </w:rPr>
              <w:t>一、</w:t>
            </w:r>
            <w:r>
              <w:rPr>
                <w:b/>
                <w:bCs/>
                <w:color w:val="FF0000"/>
              </w:rPr>
              <w:t>评标方法：综合评分法（新价格分算法）</w:t>
            </w:r>
          </w:p>
        </w:tc>
      </w:tr>
      <w:tr w14:paraId="1529EDCF">
        <w:tblPrEx>
          <w:tblCellMar>
            <w:top w:w="45" w:type="dxa"/>
            <w:left w:w="45" w:type="dxa"/>
            <w:bottom w:w="45" w:type="dxa"/>
            <w:right w:w="45" w:type="dxa"/>
          </w:tblCellMar>
        </w:tblPrEx>
        <w:trPr>
          <w:trHeight w:val="90" w:hRule="atLeast"/>
          <w:tblCellSpacing w:w="0" w:type="dxa"/>
          <w:jc w:val="center"/>
        </w:trPr>
        <w:tc>
          <w:tcPr>
            <w:tcW w:w="0" w:type="auto"/>
            <w:tcBorders>
              <w:top w:val="nil"/>
              <w:left w:val="nil"/>
              <w:bottom w:val="nil"/>
              <w:right w:val="nil"/>
            </w:tcBorders>
            <w:vAlign w:val="center"/>
          </w:tcPr>
          <w:p w14:paraId="3D5495E7">
            <w:pPr>
              <w:ind w:firstLine="411" w:firstLineChars="196"/>
              <w:rPr>
                <w:rFonts w:ascii="ˎ̥" w:hAnsi="ˎ̥"/>
              </w:rPr>
            </w:pPr>
            <w:r>
              <w:rPr>
                <w:rFonts w:hint="eastAsia"/>
              </w:rPr>
              <w:t xml:space="preserve">   </w:t>
            </w:r>
            <w:r>
              <w:rPr>
                <w:rFonts w:hint="eastAsia" w:ascii="ˎ̥" w:hAnsi="ˎ̥"/>
              </w:rPr>
              <w:t>综合评分法，是指投标文件满足招标文件全部实质性要求，且按照评审因素的量化指标评审得分最高的投标人为中标候选人的评标方法</w:t>
            </w:r>
            <w:r>
              <w:rPr>
                <w:rFonts w:hint="eastAsia"/>
              </w:rPr>
              <w:t>（排名第二的投标人为第一递补中标候选人、排名第三的投标人为第二递补中标候选人）</w:t>
            </w:r>
            <w:r>
              <w:rPr>
                <w:rFonts w:hint="eastAsia" w:ascii="ˎ̥" w:hAnsi="ˎ̥"/>
              </w:rPr>
              <w:t>。</w:t>
            </w:r>
            <w:r>
              <w:t xml:space="preserve"> </w:t>
            </w:r>
          </w:p>
          <w:p w14:paraId="476E984C">
            <w:r>
              <w:rPr>
                <w:rFonts w:hint="eastAsia"/>
              </w:rPr>
              <w:t xml:space="preserve">    </w:t>
            </w:r>
            <w:r>
              <w:t>价格分计算方法：</w:t>
            </w:r>
          </w:p>
          <w:p w14:paraId="39F13262">
            <w:pPr>
              <w:rPr>
                <w:b/>
                <w:bCs/>
                <w:color w:val="FF0000"/>
              </w:rPr>
            </w:pPr>
            <w:r>
              <w:rPr>
                <w:rFonts w:hint="eastAsia"/>
              </w:rPr>
              <w:t xml:space="preserve">    </w:t>
            </w:r>
            <w:r>
              <w:t xml:space="preserve">采用低价优先法计算，即满足招标文件要求且投标价格最低的投标报价为评标基准价，其价格分为满分。其他投标人的价格分统一按照下列公式计算： </w:t>
            </w:r>
            <w:r>
              <w:br w:type="textWrapping"/>
            </w:r>
            <w:r>
              <w:rPr>
                <w:rFonts w:hint="eastAsia"/>
              </w:rPr>
              <w:t xml:space="preserve">    </w:t>
            </w:r>
            <w:r>
              <w:t xml:space="preserve">投标报价得分=(评标基准价／投标报价)×100 </w:t>
            </w:r>
            <w:r>
              <w:br w:type="textWrapping"/>
            </w:r>
            <w:r>
              <w:rPr>
                <w:rFonts w:hint="eastAsia"/>
              </w:rPr>
              <w:t xml:space="preserve">    </w:t>
            </w:r>
            <w:r>
              <w:t xml:space="preserve">评标总得分＝F1×A1＋F2×A2＋……＋Fn×An </w:t>
            </w:r>
            <w:r>
              <w:br w:type="textWrapping"/>
            </w:r>
            <w:r>
              <w:rPr>
                <w:rFonts w:hint="eastAsia"/>
              </w:rPr>
              <w:t xml:space="preserve">    </w:t>
            </w:r>
            <w:r>
              <w:t xml:space="preserve">F1、F2……Fn分别为各项评审因素的得分； </w:t>
            </w:r>
            <w:r>
              <w:br w:type="textWrapping"/>
            </w:r>
            <w:r>
              <w:rPr>
                <w:rFonts w:hint="eastAsia"/>
              </w:rPr>
              <w:t xml:space="preserve">    </w:t>
            </w:r>
            <w:r>
              <w:t xml:space="preserve">A1、A2、……An 分别为各项评审因素所占的权重(A1＋A2＋……＋An＝1)。 </w:t>
            </w:r>
            <w:r>
              <w:br w:type="textWrapping"/>
            </w:r>
            <w:r>
              <w:rPr>
                <w:rFonts w:hint="eastAsia"/>
              </w:rPr>
              <w:t xml:space="preserve">    </w:t>
            </w:r>
            <w:r>
              <w:t xml:space="preserve">评标过程中，不得去掉报价中的最高报价和最低报价。 </w:t>
            </w:r>
            <w:r>
              <w:br w:type="textWrapping"/>
            </w:r>
            <w:r>
              <w:rPr>
                <w:rFonts w:hint="eastAsia"/>
              </w:rPr>
              <w:t xml:space="preserve">    </w:t>
            </w:r>
            <w:r>
              <w:t xml:space="preserve">此方法适用于货物类、服务类、工程类项目。 </w:t>
            </w:r>
          </w:p>
        </w:tc>
      </w:tr>
    </w:tbl>
    <w:p w14:paraId="6C0F5341">
      <w:pPr>
        <w:rPr>
          <w:b/>
          <w:bCs/>
          <w:color w:val="FF0000"/>
        </w:rPr>
      </w:pPr>
    </w:p>
    <w:p w14:paraId="02866BAE">
      <w:r>
        <w:rPr>
          <w:rFonts w:hint="eastAsia"/>
          <w:b/>
          <w:bCs/>
          <w:color w:val="FF0000"/>
        </w:rPr>
        <w:t>二、评标信息</w:t>
      </w:r>
    </w:p>
    <w:tbl>
      <w:tblPr>
        <w:tblStyle w:val="16"/>
        <w:tblW w:w="9147" w:type="dxa"/>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1202"/>
        <w:gridCol w:w="6345"/>
        <w:gridCol w:w="920"/>
      </w:tblGrid>
      <w:tr w14:paraId="06ABCA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noWrap w:val="0"/>
            <w:vAlign w:val="center"/>
          </w:tcPr>
          <w:p w14:paraId="3DA1BF8F">
            <w:pPr>
              <w:ind w:left="-78" w:leftChars="-37" w:right="-73" w:rightChars="-35"/>
              <w:jc w:val="center"/>
              <w:rPr>
                <w:rFonts w:ascii="宋体" w:hAnsi="宋体" w:cs="宋体"/>
                <w:b/>
                <w:szCs w:val="21"/>
              </w:rPr>
            </w:pPr>
            <w:r>
              <w:rPr>
                <w:rFonts w:hint="eastAsia" w:ascii="宋体" w:hAnsi="宋体" w:cs="宋体"/>
                <w:b/>
                <w:szCs w:val="21"/>
              </w:rPr>
              <w:t>评审部分</w:t>
            </w:r>
          </w:p>
        </w:tc>
        <w:tc>
          <w:tcPr>
            <w:tcW w:w="1202" w:type="dxa"/>
            <w:noWrap w:val="0"/>
            <w:vAlign w:val="center"/>
          </w:tcPr>
          <w:p w14:paraId="6A4A149D">
            <w:pPr>
              <w:ind w:left="-78" w:leftChars="-37" w:right="-73" w:rightChars="-35"/>
              <w:jc w:val="center"/>
              <w:rPr>
                <w:rFonts w:ascii="宋体" w:hAnsi="宋体" w:cs="宋体"/>
                <w:b/>
                <w:szCs w:val="21"/>
              </w:rPr>
            </w:pPr>
            <w:r>
              <w:rPr>
                <w:rFonts w:hint="eastAsia" w:ascii="宋体" w:hAnsi="宋体" w:cs="宋体"/>
                <w:b/>
                <w:szCs w:val="21"/>
              </w:rPr>
              <w:t>评审因素</w:t>
            </w:r>
          </w:p>
        </w:tc>
        <w:tc>
          <w:tcPr>
            <w:tcW w:w="6345" w:type="dxa"/>
            <w:noWrap w:val="0"/>
            <w:vAlign w:val="center"/>
          </w:tcPr>
          <w:p w14:paraId="593BC73C">
            <w:pPr>
              <w:ind w:left="-78" w:leftChars="-37" w:right="-73" w:rightChars="-35"/>
              <w:jc w:val="center"/>
              <w:rPr>
                <w:rFonts w:ascii="宋体" w:hAnsi="宋体" w:cs="宋体"/>
                <w:b/>
                <w:szCs w:val="21"/>
              </w:rPr>
            </w:pPr>
            <w:r>
              <w:rPr>
                <w:rFonts w:hint="eastAsia" w:ascii="宋体" w:hAnsi="宋体" w:cs="宋体"/>
                <w:b/>
                <w:szCs w:val="21"/>
              </w:rPr>
              <w:t>评分细则</w:t>
            </w:r>
          </w:p>
        </w:tc>
        <w:tc>
          <w:tcPr>
            <w:tcW w:w="920" w:type="dxa"/>
            <w:noWrap w:val="0"/>
            <w:vAlign w:val="center"/>
          </w:tcPr>
          <w:p w14:paraId="33D23137">
            <w:pPr>
              <w:ind w:left="-78" w:leftChars="-37" w:right="-73" w:rightChars="-35"/>
              <w:jc w:val="center"/>
              <w:rPr>
                <w:rFonts w:ascii="宋体" w:hAnsi="宋体" w:cs="宋体"/>
                <w:b/>
                <w:szCs w:val="21"/>
              </w:rPr>
            </w:pPr>
            <w:r>
              <w:rPr>
                <w:rFonts w:hint="eastAsia" w:ascii="宋体" w:hAnsi="宋体" w:cs="宋体"/>
                <w:b/>
                <w:szCs w:val="21"/>
              </w:rPr>
              <w:t>分值（分）</w:t>
            </w:r>
          </w:p>
        </w:tc>
      </w:tr>
      <w:tr w14:paraId="4D5793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1" w:hRule="atLeast"/>
        </w:trPr>
        <w:tc>
          <w:tcPr>
            <w:tcW w:w="680" w:type="dxa"/>
            <w:noWrap w:val="0"/>
            <w:vAlign w:val="center"/>
          </w:tcPr>
          <w:p w14:paraId="6F6492CD">
            <w:pPr>
              <w:ind w:left="-78" w:leftChars="-37" w:right="-73" w:rightChars="-35"/>
              <w:jc w:val="center"/>
              <w:rPr>
                <w:rFonts w:ascii="宋体" w:hAnsi="宋体" w:cs="宋体"/>
                <w:b/>
                <w:szCs w:val="21"/>
              </w:rPr>
            </w:pPr>
            <w:r>
              <w:rPr>
                <w:rFonts w:hint="eastAsia" w:ascii="宋体" w:hAnsi="宋体" w:cs="宋体"/>
                <w:b/>
                <w:szCs w:val="21"/>
              </w:rPr>
              <w:t>一</w:t>
            </w:r>
          </w:p>
        </w:tc>
        <w:tc>
          <w:tcPr>
            <w:tcW w:w="8467" w:type="dxa"/>
            <w:gridSpan w:val="3"/>
            <w:noWrap w:val="0"/>
            <w:vAlign w:val="center"/>
          </w:tcPr>
          <w:p w14:paraId="2CFD4AB7">
            <w:pPr>
              <w:ind w:left="-78" w:leftChars="-37" w:right="-73" w:rightChars="-35"/>
              <w:jc w:val="center"/>
              <w:rPr>
                <w:rFonts w:ascii="宋体" w:hAnsi="宋体" w:cs="宋体"/>
                <w:b/>
                <w:szCs w:val="21"/>
              </w:rPr>
            </w:pPr>
            <w:r>
              <w:rPr>
                <w:rFonts w:hint="eastAsia" w:ascii="宋体" w:hAnsi="宋体" w:cs="宋体"/>
                <w:b/>
                <w:szCs w:val="21"/>
              </w:rPr>
              <w:t>技术部分（55分）</w:t>
            </w:r>
          </w:p>
        </w:tc>
      </w:tr>
      <w:tr w14:paraId="19795F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680" w:type="dxa"/>
            <w:tcBorders>
              <w:bottom w:val="single" w:color="auto" w:sz="4" w:space="0"/>
            </w:tcBorders>
            <w:noWrap w:val="0"/>
            <w:vAlign w:val="center"/>
          </w:tcPr>
          <w:p w14:paraId="3BD07318">
            <w:pPr>
              <w:pStyle w:val="29"/>
              <w:numPr>
                <w:ilvl w:val="0"/>
                <w:numId w:val="4"/>
              </w:numPr>
              <w:ind w:firstLineChars="0"/>
              <w:jc w:val="right"/>
              <w:rPr>
                <w:rFonts w:ascii="宋体" w:hAnsi="宋体" w:cs="宋体"/>
                <w:szCs w:val="21"/>
              </w:rPr>
            </w:pPr>
          </w:p>
        </w:tc>
        <w:tc>
          <w:tcPr>
            <w:tcW w:w="1202" w:type="dxa"/>
            <w:noWrap w:val="0"/>
            <w:vAlign w:val="center"/>
          </w:tcPr>
          <w:p w14:paraId="65D30EBE">
            <w:pPr>
              <w:adjustRightInd w:val="0"/>
              <w:snapToGrid w:val="0"/>
              <w:spacing w:line="240" w:lineRule="atLeast"/>
              <w:jc w:val="center"/>
              <w:rPr>
                <w:rFonts w:ascii="宋体" w:hAnsi="宋体" w:cs="宋体"/>
                <w:szCs w:val="21"/>
              </w:rPr>
            </w:pPr>
            <w:r>
              <w:rPr>
                <w:rFonts w:hint="eastAsia" w:ascii="宋体" w:hAnsi="宋体" w:cs="宋体"/>
                <w:szCs w:val="21"/>
              </w:rPr>
              <w:t>技术规格偏离情况</w:t>
            </w:r>
          </w:p>
        </w:tc>
        <w:tc>
          <w:tcPr>
            <w:tcW w:w="6345" w:type="dxa"/>
            <w:noWrap w:val="0"/>
            <w:vAlign w:val="center"/>
          </w:tcPr>
          <w:p w14:paraId="1F8F47C0">
            <w:pPr>
              <w:pStyle w:val="29"/>
              <w:spacing w:line="360" w:lineRule="exact"/>
              <w:ind w:firstLine="0" w:firstLineChars="0"/>
              <w:rPr>
                <w:rFonts w:ascii="宋体" w:hAnsi="宋体" w:cs="宋体"/>
                <w:szCs w:val="21"/>
              </w:rPr>
            </w:pPr>
            <w:r>
              <w:rPr>
                <w:rFonts w:hint="eastAsia" w:ascii="宋体" w:hAnsi="宋体"/>
                <w:szCs w:val="21"/>
              </w:rPr>
              <w:t>一、评分内容：</w:t>
            </w:r>
          </w:p>
          <w:p w14:paraId="3A4D1BBD">
            <w:pPr>
              <w:rPr>
                <w:rFonts w:ascii="宋体" w:hAnsi="宋体" w:cs="宋体"/>
                <w:szCs w:val="21"/>
              </w:rPr>
            </w:pPr>
            <w:r>
              <w:rPr>
                <w:rFonts w:hint="eastAsia" w:ascii="宋体" w:hAnsi="宋体" w:cs="宋体"/>
                <w:szCs w:val="21"/>
              </w:rPr>
              <w:t>投标人应如实填写</w:t>
            </w:r>
            <w:r>
              <w:rPr>
                <w:rFonts w:hint="eastAsia" w:ascii="宋体" w:hAnsi="宋体" w:cs="宋体"/>
                <w:kern w:val="0"/>
                <w:szCs w:val="21"/>
              </w:rPr>
              <w:t>《</w:t>
            </w:r>
            <w:r>
              <w:rPr>
                <w:rFonts w:hint="eastAsia" w:ascii="宋体" w:hAnsi="宋体" w:cs="仿宋"/>
                <w:szCs w:val="21"/>
              </w:rPr>
              <w:t>技术规格偏离表</w:t>
            </w:r>
            <w:r>
              <w:rPr>
                <w:rFonts w:hint="eastAsia" w:ascii="宋体" w:hAnsi="宋体" w:cs="宋体"/>
                <w:kern w:val="0"/>
                <w:szCs w:val="21"/>
              </w:rPr>
              <w:t>》</w:t>
            </w:r>
            <w:r>
              <w:rPr>
                <w:rFonts w:hint="eastAsia" w:ascii="宋体" w:hAnsi="宋体" w:cs="宋体"/>
                <w:szCs w:val="21"/>
              </w:rPr>
              <w:t>，评审委员会根据第三章 用户需求书“二、技术要求”响应情况进行打分，各项技术参数指标及要求全部满足的得满分。</w:t>
            </w:r>
          </w:p>
          <w:p w14:paraId="3308BD62">
            <w:pPr>
              <w:rPr>
                <w:rFonts w:ascii="宋体" w:hAnsi="宋体" w:cs="宋体"/>
                <w:color w:val="auto"/>
                <w:szCs w:val="21"/>
              </w:rPr>
            </w:pPr>
            <w:r>
              <w:rPr>
                <w:rFonts w:hint="eastAsia" w:ascii="宋体" w:hAnsi="宋体" w:cs="宋体"/>
                <w:color w:val="auto"/>
                <w:szCs w:val="21"/>
              </w:rPr>
              <w:t>带▲参数为重点参数共</w:t>
            </w:r>
            <w:r>
              <w:rPr>
                <w:rFonts w:hint="eastAsia" w:ascii="宋体" w:hAnsi="宋体" w:cs="宋体"/>
                <w:color w:val="auto"/>
                <w:szCs w:val="21"/>
                <w:highlight w:val="yellow"/>
              </w:rPr>
              <w:t>{}</w:t>
            </w:r>
            <w:r>
              <w:rPr>
                <w:rFonts w:hint="eastAsia" w:ascii="宋体" w:hAnsi="宋体" w:cs="宋体"/>
                <w:color w:val="auto"/>
                <w:szCs w:val="21"/>
              </w:rPr>
              <w:t>分，每负偏离一项扣</w:t>
            </w:r>
            <w:r>
              <w:rPr>
                <w:rFonts w:hint="eastAsia" w:ascii="宋体" w:hAnsi="宋体" w:cs="宋体"/>
                <w:color w:val="auto"/>
                <w:szCs w:val="21"/>
                <w:highlight w:val="yellow"/>
              </w:rPr>
              <w:t>{}</w:t>
            </w:r>
            <w:r>
              <w:rPr>
                <w:rFonts w:hint="eastAsia" w:ascii="宋体" w:hAnsi="宋体" w:cs="宋体"/>
                <w:color w:val="auto"/>
                <w:szCs w:val="21"/>
              </w:rPr>
              <w:t>分</w:t>
            </w:r>
          </w:p>
          <w:p w14:paraId="57392671">
            <w:pPr>
              <w:rPr>
                <w:rFonts w:ascii="宋体" w:hAnsi="宋体" w:cs="宋体"/>
                <w:color w:val="auto"/>
                <w:szCs w:val="21"/>
              </w:rPr>
            </w:pPr>
            <w:r>
              <w:rPr>
                <w:rFonts w:hint="eastAsia" w:ascii="宋体" w:hAnsi="宋体" w:cs="宋体"/>
                <w:color w:val="auto"/>
                <w:szCs w:val="21"/>
              </w:rPr>
              <w:t>其他一般参数共</w:t>
            </w:r>
            <w:r>
              <w:rPr>
                <w:rFonts w:hint="eastAsia" w:ascii="宋体" w:hAnsi="宋体" w:cs="宋体"/>
                <w:color w:val="auto"/>
                <w:szCs w:val="21"/>
                <w:highlight w:val="yellow"/>
              </w:rPr>
              <w:t>{}</w:t>
            </w:r>
            <w:r>
              <w:rPr>
                <w:rFonts w:hint="eastAsia" w:ascii="宋体" w:hAnsi="宋体" w:cs="宋体"/>
                <w:color w:val="auto"/>
                <w:szCs w:val="21"/>
              </w:rPr>
              <w:t>分，每偏离一项扣</w:t>
            </w:r>
            <w:r>
              <w:rPr>
                <w:rFonts w:hint="eastAsia" w:ascii="宋体" w:hAnsi="宋体" w:cs="宋体"/>
                <w:color w:val="auto"/>
                <w:szCs w:val="21"/>
                <w:highlight w:val="yellow"/>
              </w:rPr>
              <w:t>{}</w:t>
            </w:r>
            <w:r>
              <w:rPr>
                <w:rFonts w:hint="eastAsia" w:ascii="宋体" w:hAnsi="宋体" w:cs="宋体"/>
                <w:color w:val="auto"/>
                <w:szCs w:val="21"/>
              </w:rPr>
              <w:t>分</w:t>
            </w:r>
          </w:p>
          <w:p w14:paraId="6484271C">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14:paraId="15DCDA34">
            <w:pPr>
              <w:pStyle w:val="30"/>
              <w:rPr>
                <w:sz w:val="21"/>
                <w:szCs w:val="21"/>
              </w:rPr>
            </w:pPr>
            <w:r>
              <w:rPr>
                <w:rFonts w:hint="eastAsia" w:ascii="宋体" w:hAnsi="宋体"/>
                <w:sz w:val="21"/>
                <w:szCs w:val="21"/>
              </w:rPr>
              <w:t>以投标文件《技术</w:t>
            </w:r>
            <w:r>
              <w:rPr>
                <w:rFonts w:hint="eastAsia" w:ascii="宋体" w:hAnsi="宋体" w:cs="仿宋"/>
                <w:sz w:val="21"/>
                <w:szCs w:val="21"/>
              </w:rPr>
              <w:t>规格</w:t>
            </w:r>
            <w:r>
              <w:rPr>
                <w:rFonts w:hint="eastAsia" w:ascii="宋体" w:hAnsi="宋体"/>
                <w:sz w:val="21"/>
                <w:szCs w:val="21"/>
              </w:rPr>
              <w:t>偏离表》为评分依据，投标人</w:t>
            </w:r>
            <w:r>
              <w:rPr>
                <w:rFonts w:hint="eastAsia" w:ascii="宋体" w:hAnsi="宋体" w:cs="仿宋"/>
                <w:sz w:val="21"/>
                <w:szCs w:val="21"/>
              </w:rPr>
              <w:t>按招标文件要求提供相应的证明材料复印件或扫描件加盖投标人公章（原件备查），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r>
              <w:rPr>
                <w:rFonts w:hint="eastAsia" w:ascii="宋体" w:hAnsi="宋体"/>
                <w:sz w:val="21"/>
                <w:szCs w:val="21"/>
              </w:rPr>
              <w:t>对于不同货物的技术要求中的相同项不满足时按一项不满足进行扣分，不对某一项技术要求重复扣分。</w:t>
            </w:r>
          </w:p>
        </w:tc>
        <w:tc>
          <w:tcPr>
            <w:tcW w:w="920" w:type="dxa"/>
            <w:noWrap w:val="0"/>
            <w:vAlign w:val="center"/>
          </w:tcPr>
          <w:p w14:paraId="314A5B80">
            <w:pPr>
              <w:ind w:left="-78" w:leftChars="-37" w:right="-73" w:rightChars="-35"/>
              <w:jc w:val="center"/>
              <w:rPr>
                <w:rFonts w:hint="default" w:ascii="宋体" w:hAnsi="宋体" w:eastAsia="宋体" w:cs="宋体"/>
                <w:szCs w:val="21"/>
                <w:lang w:val="en-US" w:eastAsia="zh-CN"/>
              </w:rPr>
            </w:pPr>
            <w:r>
              <w:rPr>
                <w:rFonts w:hint="eastAsia" w:ascii="宋体" w:hAnsi="宋体" w:cs="宋体"/>
                <w:szCs w:val="21"/>
                <w:highlight w:val="yellow"/>
                <w:lang w:val="en-US" w:eastAsia="zh-CN"/>
              </w:rPr>
              <w:t>50</w:t>
            </w:r>
          </w:p>
        </w:tc>
      </w:tr>
      <w:tr w14:paraId="193BC0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5" w:hRule="atLeast"/>
        </w:trPr>
        <w:tc>
          <w:tcPr>
            <w:tcW w:w="680" w:type="dxa"/>
            <w:tcBorders>
              <w:top w:val="single" w:color="auto" w:sz="4" w:space="0"/>
              <w:bottom w:val="single" w:color="auto" w:sz="4" w:space="0"/>
            </w:tcBorders>
            <w:noWrap w:val="0"/>
            <w:vAlign w:val="center"/>
          </w:tcPr>
          <w:p w14:paraId="4C4445EC">
            <w:pPr>
              <w:pStyle w:val="29"/>
              <w:numPr>
                <w:ilvl w:val="0"/>
                <w:numId w:val="4"/>
              </w:numPr>
              <w:ind w:firstLineChars="0"/>
              <w:jc w:val="right"/>
              <w:rPr>
                <w:rFonts w:ascii="宋体" w:hAnsi="宋体" w:cs="宋体"/>
                <w:szCs w:val="21"/>
              </w:rPr>
            </w:pPr>
          </w:p>
        </w:tc>
        <w:tc>
          <w:tcPr>
            <w:tcW w:w="1202" w:type="dxa"/>
            <w:noWrap w:val="0"/>
            <w:vAlign w:val="center"/>
          </w:tcPr>
          <w:p w14:paraId="56860787">
            <w:pPr>
              <w:adjustRightInd w:val="0"/>
              <w:snapToGrid w:val="0"/>
              <w:spacing w:line="240" w:lineRule="atLeast"/>
              <w:jc w:val="center"/>
              <w:rPr>
                <w:rFonts w:ascii="宋体" w:hAnsi="宋体" w:cs="宋体"/>
                <w:kern w:val="0"/>
                <w:szCs w:val="21"/>
              </w:rPr>
            </w:pPr>
            <w:r>
              <w:rPr>
                <w:rFonts w:hint="eastAsia" w:ascii="宋体" w:hAnsi="宋体" w:cs="宋体"/>
                <w:szCs w:val="21"/>
              </w:rPr>
              <w:t>售后服务方案</w:t>
            </w:r>
          </w:p>
        </w:tc>
        <w:tc>
          <w:tcPr>
            <w:tcW w:w="6345" w:type="dxa"/>
            <w:noWrap w:val="0"/>
            <w:vAlign w:val="center"/>
          </w:tcPr>
          <w:p w14:paraId="75DFD558">
            <w:pPr>
              <w:pStyle w:val="5"/>
              <w:ind w:firstLine="0"/>
              <w:rPr>
                <w:rFonts w:ascii="宋体" w:hAnsi="宋体" w:cs="宋体"/>
              </w:rPr>
            </w:pPr>
            <w:r>
              <w:rPr>
                <w:rFonts w:hint="eastAsia" w:ascii="宋体" w:hAnsi="宋体" w:cs="宋体"/>
                <w:sz w:val="21"/>
                <w:szCs w:val="21"/>
              </w:rPr>
              <w:t>投标人需提供售后服务方案，包括但不限于：</w:t>
            </w:r>
          </w:p>
          <w:p w14:paraId="2302E6CD">
            <w:pPr>
              <w:pStyle w:val="5"/>
              <w:ind w:firstLine="0"/>
              <w:rPr>
                <w:rFonts w:ascii="宋体" w:hAnsi="宋体" w:cs="宋体"/>
              </w:rPr>
            </w:pPr>
            <w:r>
              <w:rPr>
                <w:rFonts w:hint="eastAsia" w:ascii="宋体" w:hAnsi="宋体" w:cs="仿宋"/>
                <w:sz w:val="21"/>
                <w:szCs w:val="21"/>
              </w:rPr>
              <w:t>（1）</w:t>
            </w:r>
            <w:r>
              <w:rPr>
                <w:rFonts w:hint="eastAsia" w:ascii="宋体" w:hAnsi="宋体" w:cs="宋体"/>
                <w:sz w:val="21"/>
                <w:szCs w:val="21"/>
              </w:rPr>
              <w:t>售后服务机构及维护人员配置；</w:t>
            </w:r>
          </w:p>
          <w:p w14:paraId="629D859B">
            <w:pPr>
              <w:pStyle w:val="5"/>
              <w:ind w:firstLine="0"/>
              <w:rPr>
                <w:rFonts w:ascii="宋体" w:hAnsi="宋体" w:cs="宋体"/>
              </w:rPr>
            </w:pPr>
            <w:r>
              <w:rPr>
                <w:rFonts w:hint="eastAsia" w:ascii="宋体" w:hAnsi="宋体" w:cs="仿宋"/>
                <w:sz w:val="21"/>
                <w:szCs w:val="21"/>
              </w:rPr>
              <w:t>（2）</w:t>
            </w:r>
            <w:r>
              <w:rPr>
                <w:rFonts w:hint="eastAsia" w:ascii="宋体" w:hAnsi="宋体" w:cs="宋体"/>
                <w:sz w:val="21"/>
                <w:szCs w:val="21"/>
              </w:rPr>
              <w:t>保修期内的保修方案；</w:t>
            </w:r>
          </w:p>
          <w:p w14:paraId="41894EB6">
            <w:pPr>
              <w:pStyle w:val="5"/>
              <w:ind w:firstLine="0"/>
              <w:rPr>
                <w:rFonts w:ascii="宋体" w:hAnsi="宋体" w:cs="宋体"/>
              </w:rPr>
            </w:pPr>
            <w:r>
              <w:rPr>
                <w:rFonts w:hint="eastAsia" w:ascii="宋体" w:hAnsi="宋体" w:cs="仿宋"/>
                <w:sz w:val="21"/>
                <w:szCs w:val="21"/>
              </w:rPr>
              <w:t>（3）</w:t>
            </w:r>
            <w:r>
              <w:rPr>
                <w:rFonts w:hint="eastAsia" w:ascii="宋体" w:hAnsi="宋体" w:cs="宋体"/>
                <w:sz w:val="21"/>
                <w:szCs w:val="21"/>
              </w:rPr>
              <w:t>保修期外的维保方案；</w:t>
            </w:r>
          </w:p>
          <w:p w14:paraId="1611B247">
            <w:pPr>
              <w:pStyle w:val="5"/>
              <w:ind w:firstLine="0"/>
              <w:rPr>
                <w:rFonts w:ascii="宋体" w:hAnsi="宋体" w:cs="宋体"/>
              </w:rPr>
            </w:pPr>
            <w:r>
              <w:rPr>
                <w:rFonts w:hint="eastAsia" w:ascii="宋体" w:hAnsi="宋体" w:cs="宋体"/>
                <w:sz w:val="21"/>
                <w:szCs w:val="21"/>
              </w:rPr>
              <w:t>一、投标人提供上述</w:t>
            </w:r>
            <w:r>
              <w:rPr>
                <w:rFonts w:hint="eastAsia" w:ascii="宋体" w:hAnsi="宋体" w:cs="宋体"/>
                <w:sz w:val="21"/>
                <w:szCs w:val="21"/>
                <w:lang w:val="en-US" w:eastAsia="zh-CN"/>
              </w:rPr>
              <w:t>2</w:t>
            </w:r>
            <w:r>
              <w:rPr>
                <w:rFonts w:hint="eastAsia" w:ascii="宋体" w:hAnsi="宋体" w:cs="宋体"/>
                <w:sz w:val="21"/>
                <w:szCs w:val="21"/>
              </w:rPr>
              <w:t>项内容得</w:t>
            </w:r>
            <w:r>
              <w:rPr>
                <w:rFonts w:hint="eastAsia" w:ascii="宋体" w:hAnsi="宋体" w:cs="宋体"/>
                <w:sz w:val="21"/>
                <w:szCs w:val="21"/>
                <w:lang w:val="en-US" w:eastAsia="zh-CN"/>
              </w:rPr>
              <w:t>2</w:t>
            </w:r>
            <w:r>
              <w:rPr>
                <w:rFonts w:hint="eastAsia" w:ascii="宋体" w:hAnsi="宋体" w:cs="宋体"/>
                <w:sz w:val="21"/>
                <w:szCs w:val="21"/>
              </w:rPr>
              <w:t>分；</w:t>
            </w:r>
          </w:p>
          <w:p w14:paraId="07485882">
            <w:pPr>
              <w:pStyle w:val="5"/>
              <w:ind w:firstLine="0"/>
              <w:rPr>
                <w:rFonts w:ascii="宋体" w:hAnsi="宋体" w:cs="宋体"/>
              </w:rPr>
            </w:pPr>
            <w:r>
              <w:rPr>
                <w:rFonts w:hint="eastAsia" w:ascii="宋体" w:hAnsi="宋体" w:cs="宋体"/>
                <w:sz w:val="21"/>
                <w:szCs w:val="21"/>
              </w:rPr>
              <w:t>提供上述任意1-2项内容得1分；不提供不得分。</w:t>
            </w:r>
          </w:p>
          <w:p w14:paraId="5E49E415">
            <w:pPr>
              <w:pStyle w:val="5"/>
              <w:ind w:firstLine="0"/>
              <w:rPr>
                <w:rFonts w:ascii="宋体" w:hAnsi="宋体" w:cs="宋体"/>
              </w:rPr>
            </w:pPr>
            <w:r>
              <w:rPr>
                <w:rFonts w:hint="eastAsia" w:ascii="宋体" w:hAnsi="宋体" w:cs="宋体"/>
                <w:sz w:val="21"/>
                <w:szCs w:val="21"/>
              </w:rPr>
              <w:t>二、在此基础上，根据投标人的提供的内容按照量化的评审因素指标进一步评审：</w:t>
            </w:r>
          </w:p>
          <w:p w14:paraId="189FD953">
            <w:pPr>
              <w:pStyle w:val="5"/>
              <w:ind w:firstLine="0"/>
              <w:rPr>
                <w:rFonts w:ascii="宋体" w:hAnsi="宋体" w:cs="宋体"/>
              </w:rPr>
            </w:pPr>
            <w:r>
              <w:rPr>
                <w:rFonts w:hint="eastAsia" w:ascii="宋体" w:hAnsi="宋体" w:cs="仿宋"/>
                <w:sz w:val="21"/>
                <w:szCs w:val="21"/>
              </w:rPr>
              <w:t>（1）</w:t>
            </w:r>
            <w:r>
              <w:rPr>
                <w:rFonts w:hint="eastAsia" w:ascii="宋体" w:hAnsi="宋体" w:cs="宋体"/>
                <w:sz w:val="21"/>
                <w:szCs w:val="21"/>
              </w:rPr>
              <w:t>有服务热线、专业的维修人员、量化的响应时间；</w:t>
            </w:r>
          </w:p>
          <w:p w14:paraId="740665B1">
            <w:pPr>
              <w:pStyle w:val="5"/>
              <w:ind w:firstLine="0"/>
              <w:rPr>
                <w:rFonts w:ascii="宋体" w:hAnsi="宋体" w:cs="宋体"/>
              </w:rPr>
            </w:pPr>
            <w:r>
              <w:rPr>
                <w:rFonts w:hint="eastAsia" w:ascii="宋体" w:hAnsi="宋体" w:cs="仿宋"/>
                <w:sz w:val="21"/>
                <w:szCs w:val="21"/>
              </w:rPr>
              <w:t>（2）</w:t>
            </w:r>
            <w:r>
              <w:rPr>
                <w:rFonts w:hint="eastAsia" w:ascii="宋体" w:hAnsi="宋体" w:cs="宋体"/>
                <w:sz w:val="21"/>
                <w:szCs w:val="21"/>
              </w:rPr>
              <w:t>对未能达到的要求有相关的处罚机制；</w:t>
            </w:r>
          </w:p>
          <w:p w14:paraId="4085B738">
            <w:pPr>
              <w:pStyle w:val="5"/>
              <w:ind w:firstLine="0"/>
              <w:rPr>
                <w:rFonts w:ascii="宋体" w:hAnsi="宋体" w:cs="宋体"/>
              </w:rPr>
            </w:pPr>
            <w:r>
              <w:rPr>
                <w:rFonts w:hint="eastAsia" w:ascii="宋体" w:hAnsi="宋体" w:cs="宋体"/>
                <w:sz w:val="21"/>
                <w:szCs w:val="21"/>
              </w:rPr>
              <w:t>每体现一点内容加1分，最多加</w:t>
            </w:r>
            <w:r>
              <w:rPr>
                <w:rFonts w:hint="eastAsia" w:ascii="宋体" w:hAnsi="宋体" w:cs="宋体"/>
                <w:sz w:val="21"/>
                <w:szCs w:val="21"/>
                <w:lang w:val="en-US" w:eastAsia="zh-CN"/>
              </w:rPr>
              <w:t>1</w:t>
            </w:r>
            <w:r>
              <w:rPr>
                <w:rFonts w:hint="eastAsia" w:ascii="宋体" w:hAnsi="宋体" w:cs="宋体"/>
                <w:sz w:val="21"/>
                <w:szCs w:val="21"/>
              </w:rPr>
              <w:t>分。</w:t>
            </w:r>
          </w:p>
        </w:tc>
        <w:tc>
          <w:tcPr>
            <w:tcW w:w="920" w:type="dxa"/>
            <w:noWrap w:val="0"/>
            <w:vAlign w:val="center"/>
          </w:tcPr>
          <w:p w14:paraId="2EFE801E">
            <w:pPr>
              <w:jc w:val="center"/>
              <w:rPr>
                <w:rFonts w:hint="eastAsia" w:ascii="宋体" w:hAnsi="宋体" w:eastAsia="宋体" w:cs="宋体"/>
                <w:kern w:val="0"/>
                <w:szCs w:val="21"/>
                <w:lang w:eastAsia="zh-CN"/>
              </w:rPr>
            </w:pPr>
            <w:r>
              <w:rPr>
                <w:rFonts w:hint="eastAsia" w:ascii="宋体" w:hAnsi="宋体" w:cs="宋体"/>
                <w:kern w:val="0"/>
                <w:szCs w:val="21"/>
                <w:highlight w:val="yellow"/>
                <w:lang w:val="en-US" w:eastAsia="zh-CN"/>
              </w:rPr>
              <w:t>3</w:t>
            </w:r>
          </w:p>
        </w:tc>
      </w:tr>
      <w:tr w14:paraId="47CFE3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7" w:hRule="atLeast"/>
        </w:trPr>
        <w:tc>
          <w:tcPr>
            <w:tcW w:w="680" w:type="dxa"/>
            <w:tcBorders>
              <w:top w:val="single" w:color="auto" w:sz="4" w:space="0"/>
            </w:tcBorders>
            <w:noWrap w:val="0"/>
            <w:vAlign w:val="center"/>
          </w:tcPr>
          <w:p w14:paraId="600190D3">
            <w:pPr>
              <w:ind w:left="-78" w:leftChars="-37" w:right="-73" w:rightChars="-35"/>
              <w:jc w:val="center"/>
              <w:rPr>
                <w:rFonts w:ascii="宋体" w:hAnsi="宋体" w:cs="宋体"/>
                <w:b/>
                <w:szCs w:val="21"/>
              </w:rPr>
            </w:pPr>
            <w:r>
              <w:rPr>
                <w:rFonts w:hint="eastAsia" w:ascii="宋体" w:hAnsi="宋体" w:cs="宋体"/>
                <w:b/>
                <w:szCs w:val="21"/>
              </w:rPr>
              <w:t>二</w:t>
            </w:r>
          </w:p>
        </w:tc>
        <w:tc>
          <w:tcPr>
            <w:tcW w:w="8467" w:type="dxa"/>
            <w:gridSpan w:val="3"/>
            <w:noWrap w:val="0"/>
            <w:vAlign w:val="center"/>
          </w:tcPr>
          <w:p w14:paraId="46FD1C2A">
            <w:pPr>
              <w:ind w:left="-78" w:leftChars="-37" w:right="-73" w:rightChars="-35"/>
              <w:jc w:val="center"/>
              <w:rPr>
                <w:rFonts w:ascii="宋体" w:hAnsi="宋体" w:cs="宋体"/>
                <w:b/>
                <w:szCs w:val="21"/>
              </w:rPr>
            </w:pPr>
            <w:r>
              <w:rPr>
                <w:rFonts w:hint="eastAsia" w:ascii="宋体" w:hAnsi="宋体" w:cs="宋体"/>
                <w:b/>
                <w:szCs w:val="21"/>
              </w:rPr>
              <w:t>商务部分（15分）</w:t>
            </w:r>
          </w:p>
        </w:tc>
      </w:tr>
      <w:tr w14:paraId="55C0A9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noWrap w:val="0"/>
            <w:vAlign w:val="center"/>
          </w:tcPr>
          <w:p w14:paraId="1F347C56">
            <w:pPr>
              <w:pStyle w:val="29"/>
              <w:numPr>
                <w:ilvl w:val="0"/>
                <w:numId w:val="5"/>
              </w:numPr>
              <w:ind w:firstLineChars="0"/>
              <w:jc w:val="center"/>
              <w:rPr>
                <w:rFonts w:ascii="宋体" w:hAnsi="宋体" w:cs="宋体"/>
                <w:szCs w:val="21"/>
              </w:rPr>
            </w:pPr>
          </w:p>
        </w:tc>
        <w:tc>
          <w:tcPr>
            <w:tcW w:w="1202" w:type="dxa"/>
            <w:noWrap w:val="0"/>
            <w:vAlign w:val="center"/>
          </w:tcPr>
          <w:p w14:paraId="5A2AD48B">
            <w:pPr>
              <w:wordWrap w:val="0"/>
              <w:jc w:val="center"/>
              <w:textAlignment w:val="top"/>
              <w:rPr>
                <w:rFonts w:ascii="宋体" w:hAnsi="宋体" w:cs="宋体"/>
                <w:szCs w:val="21"/>
              </w:rPr>
            </w:pPr>
            <w:r>
              <w:rPr>
                <w:rFonts w:hint="eastAsia" w:ascii="宋体" w:hAnsi="宋体" w:cs="宋体"/>
                <w:szCs w:val="21"/>
              </w:rPr>
              <w:t>商务条款偏离情况</w:t>
            </w:r>
          </w:p>
        </w:tc>
        <w:tc>
          <w:tcPr>
            <w:tcW w:w="6345" w:type="dxa"/>
            <w:noWrap w:val="0"/>
            <w:vAlign w:val="center"/>
          </w:tcPr>
          <w:p w14:paraId="66FDF1AC">
            <w:pPr>
              <w:autoSpaceDE w:val="0"/>
              <w:autoSpaceDN w:val="0"/>
              <w:adjustRightInd w:val="0"/>
              <w:spacing w:line="360" w:lineRule="exact"/>
              <w:jc w:val="left"/>
              <w:rPr>
                <w:rFonts w:ascii="宋体" w:hAnsi="宋体" w:cs="仿宋"/>
                <w:szCs w:val="21"/>
              </w:rPr>
            </w:pPr>
            <w:r>
              <w:rPr>
                <w:rFonts w:hint="eastAsia" w:ascii="宋体" w:hAnsi="宋体" w:cs="仿宋"/>
                <w:szCs w:val="21"/>
              </w:rPr>
              <w:t>一、投标人自行承诺在满足采购文件的免费保修期前提下，每增加一年得1分，最高得2分。本小项最高得2分。【提供承诺函并加盖投标人公章，格式自拟】</w:t>
            </w:r>
          </w:p>
          <w:p w14:paraId="60945DCC">
            <w:pPr>
              <w:adjustRightInd w:val="0"/>
              <w:snapToGrid w:val="0"/>
              <w:spacing w:line="240" w:lineRule="atLeast"/>
              <w:rPr>
                <w:rFonts w:ascii="宋体" w:hAnsi="宋体" w:cs="宋体"/>
                <w:szCs w:val="21"/>
              </w:rPr>
            </w:pPr>
            <w:r>
              <w:rPr>
                <w:rFonts w:hint="eastAsia" w:ascii="宋体" w:hAnsi="宋体" w:cs="仿宋"/>
                <w:szCs w:val="21"/>
              </w:rPr>
              <w:t>二、投标人应如实填写《商务条款偏离表》，评审委员会根据响应情况进行打分: 全部满足得10分，</w:t>
            </w:r>
            <w:r>
              <w:rPr>
                <w:rFonts w:hint="eastAsia" w:ascii="宋体" w:hAnsi="宋体" w:cs="仿宋"/>
                <w:color w:val="F79646"/>
                <w:szCs w:val="21"/>
              </w:rPr>
              <w:t>每负偏离一项扣1分。</w:t>
            </w:r>
          </w:p>
        </w:tc>
        <w:tc>
          <w:tcPr>
            <w:tcW w:w="920" w:type="dxa"/>
            <w:noWrap w:val="0"/>
            <w:vAlign w:val="center"/>
          </w:tcPr>
          <w:p w14:paraId="3456FBD6">
            <w:pPr>
              <w:ind w:left="-78" w:leftChars="-37" w:right="-73" w:rightChars="-35"/>
              <w:jc w:val="center"/>
              <w:rPr>
                <w:rFonts w:ascii="宋体" w:hAnsi="宋体" w:cs="宋体"/>
                <w:szCs w:val="21"/>
              </w:rPr>
            </w:pPr>
            <w:r>
              <w:rPr>
                <w:rFonts w:hint="eastAsia" w:ascii="宋体" w:hAnsi="宋体" w:cs="宋体"/>
                <w:szCs w:val="21"/>
              </w:rPr>
              <w:t>12</w:t>
            </w:r>
          </w:p>
        </w:tc>
      </w:tr>
      <w:tr w14:paraId="22CE4F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noWrap w:val="0"/>
            <w:vAlign w:val="center"/>
          </w:tcPr>
          <w:p w14:paraId="5181587F">
            <w:pPr>
              <w:pStyle w:val="29"/>
              <w:numPr>
                <w:ilvl w:val="0"/>
                <w:numId w:val="5"/>
              </w:numPr>
              <w:ind w:firstLineChars="0"/>
              <w:jc w:val="center"/>
              <w:rPr>
                <w:rFonts w:ascii="宋体" w:hAnsi="宋体" w:cs="宋体"/>
                <w:szCs w:val="21"/>
              </w:rPr>
            </w:pPr>
          </w:p>
        </w:tc>
        <w:tc>
          <w:tcPr>
            <w:tcW w:w="1202" w:type="dxa"/>
            <w:noWrap w:val="0"/>
            <w:vAlign w:val="center"/>
          </w:tcPr>
          <w:p w14:paraId="41F24A9F">
            <w:pPr>
              <w:wordWrap w:val="0"/>
              <w:jc w:val="center"/>
              <w:textAlignment w:val="top"/>
              <w:rPr>
                <w:rFonts w:ascii="宋体" w:hAnsi="宋体" w:cs="宋体"/>
                <w:szCs w:val="21"/>
              </w:rPr>
            </w:pPr>
            <w:r>
              <w:rPr>
                <w:rFonts w:hint="eastAsia" w:ascii="宋体" w:hAnsi="宋体" w:cs="宋体"/>
                <w:szCs w:val="21"/>
              </w:rPr>
              <w:t>同类业绩</w:t>
            </w:r>
          </w:p>
        </w:tc>
        <w:tc>
          <w:tcPr>
            <w:tcW w:w="6345" w:type="dxa"/>
            <w:noWrap w:val="0"/>
            <w:vAlign w:val="top"/>
          </w:tcPr>
          <w:p w14:paraId="347F9AA7">
            <w:pPr>
              <w:wordWrap w:val="0"/>
              <w:textAlignment w:val="top"/>
              <w:rPr>
                <w:rFonts w:ascii="宋体" w:hAnsi="宋体" w:cs="宋体"/>
                <w:color w:val="F79646"/>
                <w:szCs w:val="21"/>
              </w:rPr>
            </w:pPr>
            <w:r>
              <w:rPr>
                <w:rFonts w:hint="eastAsia" w:ascii="宋体" w:hAnsi="宋体" w:cs="宋体"/>
                <w:color w:val="F79646"/>
                <w:szCs w:val="21"/>
              </w:rPr>
              <w:t>一、评分内容：</w:t>
            </w:r>
          </w:p>
          <w:p w14:paraId="1C40F7AD">
            <w:pPr>
              <w:wordWrap w:val="0"/>
              <w:textAlignment w:val="top"/>
              <w:rPr>
                <w:rFonts w:ascii="宋体" w:hAnsi="宋体" w:cs="宋体"/>
                <w:color w:val="F79646"/>
                <w:szCs w:val="21"/>
              </w:rPr>
            </w:pPr>
            <w:r>
              <w:rPr>
                <w:rFonts w:hint="eastAsia" w:ascii="宋体" w:hAnsi="宋体" w:cs="宋体"/>
                <w:color w:val="F79646"/>
                <w:szCs w:val="21"/>
              </w:rPr>
              <w:t>投标人2022年1月1日至投标截止时间前具备同</w:t>
            </w:r>
            <w:r>
              <w:rPr>
                <w:rFonts w:hint="eastAsia" w:ascii="宋体" w:hAnsi="宋体" w:cs="宋体"/>
                <w:color w:val="F79646"/>
                <w:szCs w:val="21"/>
                <w:lang w:eastAsia="zh-CN"/>
              </w:rPr>
              <w:t>产品同型号</w:t>
            </w:r>
            <w:r>
              <w:rPr>
                <w:rFonts w:hint="eastAsia" w:ascii="宋体" w:hAnsi="宋体" w:cs="宋体"/>
                <w:color w:val="F79646"/>
                <w:szCs w:val="21"/>
              </w:rPr>
              <w:t>的</w:t>
            </w:r>
            <w:r>
              <w:rPr>
                <w:rFonts w:hint="eastAsia" w:ascii="宋体" w:hAnsi="宋体" w:cs="宋体"/>
                <w:color w:val="F79646"/>
                <w:szCs w:val="21"/>
                <w:lang w:eastAsia="zh-CN"/>
              </w:rPr>
              <w:t>业绩</w:t>
            </w:r>
            <w:r>
              <w:rPr>
                <w:rFonts w:hint="eastAsia" w:ascii="宋体" w:hAnsi="宋体" w:cs="宋体"/>
                <w:color w:val="F79646"/>
                <w:szCs w:val="21"/>
              </w:rPr>
              <w:t>（以发票或合同签订时间为准），每提供1项得1分，本项最高得3分，不提供不得分。</w:t>
            </w:r>
          </w:p>
          <w:p w14:paraId="123D302A">
            <w:pPr>
              <w:wordWrap w:val="0"/>
              <w:textAlignment w:val="top"/>
              <w:rPr>
                <w:rFonts w:ascii="宋体" w:hAnsi="宋体" w:cs="宋体"/>
                <w:color w:val="F79646"/>
                <w:szCs w:val="21"/>
              </w:rPr>
            </w:pPr>
            <w:r>
              <w:rPr>
                <w:rFonts w:hint="eastAsia" w:ascii="宋体" w:hAnsi="宋体" w:cs="宋体"/>
                <w:color w:val="F79646"/>
                <w:szCs w:val="21"/>
              </w:rPr>
              <w:t>二、评分依据：</w:t>
            </w:r>
          </w:p>
          <w:p w14:paraId="72388BD6">
            <w:pPr>
              <w:wordWrap w:val="0"/>
              <w:textAlignment w:val="top"/>
              <w:rPr>
                <w:rFonts w:ascii="宋体" w:hAnsi="宋体" w:cs="宋体"/>
                <w:color w:val="F79646"/>
                <w:szCs w:val="21"/>
              </w:rPr>
            </w:pPr>
            <w:r>
              <w:rPr>
                <w:rFonts w:hint="eastAsia" w:ascii="宋体" w:hAnsi="宋体" w:cs="宋体"/>
                <w:color w:val="F79646"/>
                <w:szCs w:val="21"/>
              </w:rPr>
              <w:t>1.提供合同关键信息页证明文件</w:t>
            </w:r>
            <w:r>
              <w:rPr>
                <w:rFonts w:hint="eastAsia"/>
                <w:color w:val="F79646"/>
                <w:szCs w:val="21"/>
              </w:rPr>
              <w:t>（含签订合同双方的单位名称、合同项目名称与含签订合同双方的落款盖章、签订日期的关键页）</w:t>
            </w:r>
            <w:r>
              <w:rPr>
                <w:rFonts w:hint="eastAsia" w:ascii="宋体" w:hAnsi="宋体" w:cs="宋体"/>
                <w:color w:val="F79646"/>
                <w:szCs w:val="21"/>
              </w:rPr>
              <w:t>作为得分依据。</w:t>
            </w:r>
          </w:p>
          <w:p w14:paraId="7AF68A33">
            <w:pPr>
              <w:pStyle w:val="30"/>
              <w:rPr>
                <w:rFonts w:hint="eastAsia" w:eastAsia="宋体"/>
                <w:color w:val="F79646"/>
                <w:lang w:eastAsia="zh-CN"/>
              </w:rPr>
            </w:pPr>
            <w:r>
              <w:rPr>
                <w:rFonts w:hint="eastAsia" w:ascii="宋体" w:hAnsi="宋体" w:cs="宋体"/>
                <w:bCs w:val="0"/>
                <w:color w:val="F79646"/>
                <w:sz w:val="21"/>
                <w:szCs w:val="21"/>
              </w:rPr>
              <w:t>2.提供发票或中标、成交通知书作为证明文件</w:t>
            </w:r>
            <w:r>
              <w:rPr>
                <w:rFonts w:hint="eastAsia" w:ascii="宋体" w:hAnsi="宋体" w:cs="宋体"/>
                <w:bCs w:val="0"/>
                <w:color w:val="F79646"/>
                <w:sz w:val="21"/>
                <w:szCs w:val="21"/>
                <w:lang w:eastAsia="zh-CN"/>
              </w:rPr>
              <w:t>。</w:t>
            </w:r>
          </w:p>
          <w:p w14:paraId="15999D86">
            <w:pPr>
              <w:wordWrap w:val="0"/>
              <w:textAlignment w:val="top"/>
              <w:rPr>
                <w:rFonts w:ascii="宋体" w:hAnsi="宋体" w:cs="宋体"/>
                <w:color w:val="F79646"/>
                <w:szCs w:val="21"/>
              </w:rPr>
            </w:pPr>
            <w:r>
              <w:rPr>
                <w:rFonts w:hint="eastAsia" w:ascii="宋体" w:hAnsi="宋体" w:cs="宋体"/>
                <w:color w:val="F79646"/>
                <w:szCs w:val="21"/>
              </w:rPr>
              <w:t>3.通过合同关键信息页无法判断是否得分的，还须同时提供能证明得分的其他证明资料，如项目报告或合同甲方出具的证明文件等。</w:t>
            </w:r>
          </w:p>
          <w:p w14:paraId="05FD875B">
            <w:pPr>
              <w:wordWrap w:val="0"/>
              <w:textAlignment w:val="top"/>
              <w:rPr>
                <w:rFonts w:ascii="宋体" w:hAnsi="宋体" w:cs="宋体"/>
                <w:szCs w:val="21"/>
              </w:rPr>
            </w:pPr>
            <w:r>
              <w:rPr>
                <w:rFonts w:hint="eastAsia" w:ascii="宋体" w:hAnsi="宋体" w:cs="宋体"/>
                <w:color w:val="F79646"/>
                <w:szCs w:val="21"/>
              </w:rPr>
              <w:t>4.以上资料均要求提供复印件。评分中出现无证明资料或专家无法凭所提供资料判断是否得分的情况，一律作不得分处理。</w:t>
            </w:r>
          </w:p>
        </w:tc>
        <w:tc>
          <w:tcPr>
            <w:tcW w:w="920" w:type="dxa"/>
            <w:noWrap w:val="0"/>
            <w:vAlign w:val="center"/>
          </w:tcPr>
          <w:p w14:paraId="51FFF7F7">
            <w:pPr>
              <w:ind w:left="-78" w:leftChars="-37" w:right="-73" w:rightChars="-35"/>
              <w:jc w:val="center"/>
              <w:rPr>
                <w:rFonts w:ascii="宋体" w:hAnsi="宋体" w:cs="宋体"/>
                <w:szCs w:val="21"/>
              </w:rPr>
            </w:pPr>
            <w:r>
              <w:rPr>
                <w:rFonts w:hint="eastAsia" w:ascii="宋体" w:hAnsi="宋体" w:cs="宋体"/>
                <w:szCs w:val="21"/>
              </w:rPr>
              <w:t>3</w:t>
            </w:r>
          </w:p>
        </w:tc>
      </w:tr>
      <w:tr w14:paraId="4D9351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noWrap w:val="0"/>
            <w:vAlign w:val="center"/>
          </w:tcPr>
          <w:p w14:paraId="640E2520">
            <w:pPr>
              <w:pStyle w:val="29"/>
              <w:numPr>
                <w:ilvl w:val="0"/>
                <w:numId w:val="5"/>
              </w:numPr>
              <w:ind w:firstLineChars="0"/>
              <w:jc w:val="center"/>
              <w:rPr>
                <w:rFonts w:ascii="宋体" w:hAnsi="宋体" w:cs="宋体"/>
                <w:szCs w:val="21"/>
              </w:rPr>
            </w:pPr>
          </w:p>
        </w:tc>
        <w:tc>
          <w:tcPr>
            <w:tcW w:w="1202" w:type="dxa"/>
            <w:noWrap w:val="0"/>
            <w:vAlign w:val="center"/>
          </w:tcPr>
          <w:p w14:paraId="61892AFF">
            <w:pPr>
              <w:wordWrap w:val="0"/>
              <w:jc w:val="center"/>
              <w:textAlignment w:val="top"/>
              <w:rPr>
                <w:rFonts w:hint="eastAsia" w:ascii="宋体" w:hAnsi="宋体" w:eastAsia="宋体" w:cs="宋体"/>
                <w:sz w:val="21"/>
                <w:szCs w:val="21"/>
                <w:lang w:eastAsia="zh-CN"/>
              </w:rPr>
            </w:pPr>
            <w:r>
              <w:rPr>
                <w:rFonts w:hint="eastAsia" w:ascii="宋体" w:hAnsi="宋体" w:cs="宋体"/>
                <w:sz w:val="21"/>
                <w:szCs w:val="21"/>
                <w:lang w:eastAsia="zh-CN"/>
              </w:rPr>
              <w:t>诚信</w:t>
            </w:r>
          </w:p>
        </w:tc>
        <w:tc>
          <w:tcPr>
            <w:tcW w:w="6345" w:type="dxa"/>
            <w:noWrap w:val="0"/>
            <w:vAlign w:val="top"/>
          </w:tcPr>
          <w:p w14:paraId="5BE07F4D">
            <w:pPr>
              <w:widowControl/>
              <w:spacing w:after="0"/>
              <w:jc w:val="left"/>
              <w:rPr>
                <w:rFonts w:hint="eastAsia" w:ascii="Times New Roman" w:hAnsi="Times New Roman" w:eastAsia="宋体" w:cs="宋体"/>
                <w:kern w:val="2"/>
                <w:sz w:val="21"/>
                <w:szCs w:val="21"/>
                <w:highlight w:val="none"/>
                <w:lang w:val="en-US" w:eastAsia="zh-CN" w:bidi="ar-SA"/>
              </w:rPr>
            </w:pPr>
            <w:r>
              <w:rPr>
                <w:rFonts w:hint="eastAsia" w:ascii="Times New Roman" w:hAnsi="Times New Roman" w:eastAsia="宋体" w:cs="宋体"/>
                <w:kern w:val="2"/>
                <w:sz w:val="21"/>
                <w:szCs w:val="21"/>
                <w:highlight w:val="none"/>
                <w:lang w:val="en-US" w:eastAsia="zh-CN" w:bidi="ar-SA"/>
              </w:rPr>
              <w:t>一、评分内容：</w:t>
            </w:r>
          </w:p>
          <w:p w14:paraId="0DFA118C">
            <w:pPr>
              <w:rPr>
                <w:rFonts w:hint="eastAsia" w:cs="宋体"/>
                <w:sz w:val="21"/>
                <w:szCs w:val="21"/>
                <w:highlight w:val="none"/>
              </w:rPr>
            </w:pPr>
            <w:r>
              <w:rPr>
                <w:rFonts w:hint="eastAsia" w:cs="宋体"/>
                <w:sz w:val="21"/>
                <w:szCs w:val="21"/>
                <w:highlight w:val="none"/>
              </w:rPr>
              <w:t>供应商存在《深圳市财政局政府采购供应商信用信息管理办法》（深财规〔2023〕3号）列明的一般行政处罚信息、一般违法失信记录信息的，本项不得分，不存在上述情形的本项得</w:t>
            </w:r>
            <w:r>
              <w:rPr>
                <w:rFonts w:hint="eastAsia" w:cs="宋体"/>
                <w:sz w:val="21"/>
                <w:szCs w:val="21"/>
                <w:highlight w:val="none"/>
                <w:lang w:val="en-US" w:eastAsia="zh-CN"/>
              </w:rPr>
              <w:t>2</w:t>
            </w:r>
            <w:r>
              <w:rPr>
                <w:rFonts w:hint="eastAsia" w:cs="宋体"/>
                <w:sz w:val="21"/>
                <w:szCs w:val="21"/>
                <w:highlight w:val="none"/>
              </w:rPr>
              <w:t>分。供应商</w:t>
            </w:r>
            <w:r>
              <w:rPr>
                <w:rFonts w:hint="eastAsia" w:cs="宋体"/>
                <w:sz w:val="21"/>
                <w:szCs w:val="21"/>
                <w:highlight w:val="none"/>
                <w:lang w:eastAsia="zh-CN"/>
              </w:rPr>
              <w:t>报名时</w:t>
            </w:r>
            <w:r>
              <w:rPr>
                <w:rFonts w:hint="eastAsia" w:cs="宋体"/>
                <w:sz w:val="21"/>
                <w:szCs w:val="21"/>
                <w:highlight w:val="none"/>
              </w:rPr>
              <w:t>提供有关供应商诚信查询结果。</w:t>
            </w:r>
          </w:p>
          <w:p w14:paraId="75D6EFE3">
            <w:pPr>
              <w:widowControl/>
              <w:spacing w:after="0"/>
              <w:jc w:val="left"/>
              <w:rPr>
                <w:rFonts w:hint="eastAsia" w:ascii="Times New Roman" w:hAnsi="Times New Roman" w:eastAsia="宋体" w:cs="宋体"/>
                <w:kern w:val="2"/>
                <w:sz w:val="21"/>
                <w:szCs w:val="21"/>
                <w:highlight w:val="none"/>
                <w:lang w:val="en-US" w:eastAsia="zh-CN" w:bidi="ar-SA"/>
              </w:rPr>
            </w:pPr>
            <w:r>
              <w:rPr>
                <w:rFonts w:hint="eastAsia" w:ascii="Times New Roman" w:hAnsi="Times New Roman" w:eastAsia="宋体" w:cs="宋体"/>
                <w:kern w:val="2"/>
                <w:sz w:val="21"/>
                <w:szCs w:val="21"/>
                <w:highlight w:val="none"/>
                <w:lang w:val="en-US" w:eastAsia="zh-CN" w:bidi="ar-SA"/>
              </w:rPr>
              <w:t>二、评分依据：</w:t>
            </w:r>
          </w:p>
          <w:p w14:paraId="04C29F21">
            <w:pPr>
              <w:wordWrap w:val="0"/>
              <w:textAlignment w:val="top"/>
              <w:rPr>
                <w:rFonts w:hint="eastAsia" w:ascii="宋体" w:hAnsi="宋体" w:cs="宋体"/>
                <w:color w:val="F79646"/>
                <w:sz w:val="21"/>
                <w:szCs w:val="21"/>
              </w:rPr>
            </w:pPr>
            <w:r>
              <w:rPr>
                <w:rFonts w:hint="eastAsia" w:cs="宋体"/>
                <w:sz w:val="21"/>
                <w:szCs w:val="21"/>
                <w:highlight w:val="none"/>
              </w:rPr>
              <w:t>查询渠道：通过“信用中国”（www.creditchina.gov.cn，</w:t>
            </w:r>
            <w:r>
              <w:rPr>
                <w:rFonts w:hint="eastAsia" w:cs="宋体"/>
                <w:b w:val="0"/>
                <w:bCs w:val="0"/>
                <w:sz w:val="21"/>
                <w:szCs w:val="21"/>
                <w:highlight w:val="none"/>
              </w:rPr>
              <w:t>下载信用信息报告</w:t>
            </w:r>
            <w:r>
              <w:rPr>
                <w:rFonts w:hint="eastAsia" w:cs="宋体"/>
                <w:sz w:val="21"/>
                <w:szCs w:val="21"/>
                <w:highlight w:val="none"/>
              </w:rPr>
              <w:t>）、“中国政府采购网”（www.ccgp.gov.cn）以及“深圳市政府采购监管网”（http://zfcg.sz.gov.cn）查询供应商信用信息，信用信息以开标当日的查询结果为准。</w:t>
            </w:r>
          </w:p>
        </w:tc>
        <w:tc>
          <w:tcPr>
            <w:tcW w:w="920" w:type="dxa"/>
            <w:noWrap w:val="0"/>
            <w:vAlign w:val="center"/>
          </w:tcPr>
          <w:p w14:paraId="639DF032">
            <w:pPr>
              <w:ind w:left="-78" w:leftChars="-37" w:right="-73" w:rightChars="-35"/>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2</w:t>
            </w:r>
          </w:p>
        </w:tc>
      </w:tr>
      <w:tr w14:paraId="61B44C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7" w:hRule="atLeast"/>
        </w:trPr>
        <w:tc>
          <w:tcPr>
            <w:tcW w:w="680" w:type="dxa"/>
            <w:tcBorders>
              <w:top w:val="single" w:color="auto" w:sz="4" w:space="0"/>
            </w:tcBorders>
            <w:noWrap w:val="0"/>
            <w:vAlign w:val="center"/>
          </w:tcPr>
          <w:p w14:paraId="1AC8CB5A">
            <w:pPr>
              <w:jc w:val="center"/>
              <w:rPr>
                <w:rFonts w:ascii="宋体" w:hAnsi="宋体" w:cs="宋体"/>
                <w:b/>
                <w:szCs w:val="21"/>
              </w:rPr>
            </w:pPr>
            <w:r>
              <w:rPr>
                <w:rFonts w:hint="eastAsia" w:ascii="宋体" w:hAnsi="宋体" w:cs="宋体"/>
                <w:b/>
                <w:szCs w:val="21"/>
              </w:rPr>
              <w:t>三</w:t>
            </w:r>
          </w:p>
        </w:tc>
        <w:tc>
          <w:tcPr>
            <w:tcW w:w="8467" w:type="dxa"/>
            <w:gridSpan w:val="3"/>
            <w:noWrap w:val="0"/>
            <w:vAlign w:val="center"/>
          </w:tcPr>
          <w:p w14:paraId="5CD62213">
            <w:pPr>
              <w:ind w:left="-78" w:leftChars="-37" w:right="-73" w:rightChars="-35"/>
              <w:jc w:val="center"/>
              <w:rPr>
                <w:rFonts w:ascii="宋体" w:hAnsi="宋体" w:cs="宋体"/>
                <w:b/>
                <w:szCs w:val="21"/>
              </w:rPr>
            </w:pPr>
            <w:r>
              <w:rPr>
                <w:rFonts w:hint="eastAsia" w:ascii="宋体" w:hAnsi="宋体" w:cs="宋体"/>
                <w:b/>
                <w:szCs w:val="21"/>
              </w:rPr>
              <w:t>价格部分（30分）</w:t>
            </w:r>
          </w:p>
        </w:tc>
      </w:tr>
      <w:tr w14:paraId="72A2B9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trPr>
        <w:tc>
          <w:tcPr>
            <w:tcW w:w="680" w:type="dxa"/>
            <w:noWrap w:val="0"/>
            <w:vAlign w:val="center"/>
          </w:tcPr>
          <w:p w14:paraId="78CE5B8C">
            <w:pPr>
              <w:jc w:val="center"/>
              <w:rPr>
                <w:rFonts w:ascii="宋体" w:hAnsi="宋体" w:cs="宋体"/>
                <w:szCs w:val="21"/>
              </w:rPr>
            </w:pPr>
            <w:r>
              <w:rPr>
                <w:rFonts w:hint="eastAsia" w:ascii="宋体" w:hAnsi="宋体" w:cs="宋体"/>
                <w:szCs w:val="21"/>
              </w:rPr>
              <w:t>1</w:t>
            </w:r>
          </w:p>
        </w:tc>
        <w:tc>
          <w:tcPr>
            <w:tcW w:w="1202" w:type="dxa"/>
            <w:noWrap w:val="0"/>
            <w:vAlign w:val="center"/>
          </w:tcPr>
          <w:p w14:paraId="7FDDE22A">
            <w:pPr>
              <w:jc w:val="center"/>
              <w:rPr>
                <w:rFonts w:ascii="宋体" w:hAnsi="宋体" w:cs="宋体"/>
                <w:szCs w:val="21"/>
              </w:rPr>
            </w:pPr>
            <w:r>
              <w:rPr>
                <w:rFonts w:hint="eastAsia" w:ascii="宋体" w:hAnsi="宋体" w:cs="宋体"/>
                <w:szCs w:val="21"/>
              </w:rPr>
              <w:t>投标报价</w:t>
            </w:r>
          </w:p>
        </w:tc>
        <w:tc>
          <w:tcPr>
            <w:tcW w:w="6345" w:type="dxa"/>
            <w:noWrap w:val="0"/>
            <w:vAlign w:val="center"/>
          </w:tcPr>
          <w:p w14:paraId="23F82494">
            <w:pPr>
              <w:autoSpaceDE w:val="0"/>
              <w:autoSpaceDN w:val="0"/>
              <w:adjustRightInd w:val="0"/>
              <w:snapToGrid w:val="0"/>
              <w:rPr>
                <w:rFonts w:ascii="宋体" w:hAnsi="宋体" w:cs="宋体"/>
                <w:kern w:val="0"/>
                <w:szCs w:val="21"/>
              </w:rPr>
            </w:pPr>
            <w:r>
              <w:rPr>
                <w:rFonts w:hint="eastAsia" w:ascii="宋体" w:hAnsi="宋体" w:cs="宋体"/>
                <w:kern w:val="0"/>
                <w:szCs w:val="21"/>
              </w:rPr>
              <w:t>价格分应当采用低价优先法计算，即满足招标文件要求且投标价格最低的投标报价为评标基准价，其价格分为满分。其他投标人的价格分统一按照下列公式计算：</w:t>
            </w:r>
          </w:p>
          <w:p w14:paraId="3B58E96E">
            <w:pPr>
              <w:widowControl/>
              <w:jc w:val="left"/>
              <w:rPr>
                <w:rFonts w:ascii="宋体" w:hAnsi="宋体" w:cs="宋体"/>
                <w:kern w:val="0"/>
                <w:szCs w:val="21"/>
              </w:rPr>
            </w:pPr>
            <w:r>
              <w:rPr>
                <w:rFonts w:hint="eastAsia" w:ascii="宋体" w:hAnsi="宋体" w:cs="宋体"/>
                <w:kern w:val="0"/>
                <w:szCs w:val="21"/>
              </w:rPr>
              <w:t>投标报价得分=(评标基准价／投标报价)×100×权重</w:t>
            </w:r>
          </w:p>
          <w:p w14:paraId="773CB02A">
            <w:pPr>
              <w:widowControl/>
              <w:jc w:val="left"/>
              <w:rPr>
                <w:rFonts w:ascii="宋体" w:hAnsi="宋体" w:cs="宋体"/>
                <w:szCs w:val="21"/>
              </w:rPr>
            </w:pPr>
            <w:r>
              <w:rPr>
                <w:rFonts w:hint="eastAsia" w:ascii="宋体" w:hAnsi="宋体" w:cs="宋体"/>
                <w:szCs w:val="21"/>
              </w:rPr>
              <w:t>备注：</w:t>
            </w:r>
          </w:p>
          <w:p w14:paraId="7AC6BB67">
            <w:pPr>
              <w:widowControl/>
              <w:jc w:val="left"/>
              <w:rPr>
                <w:rFonts w:ascii="宋体" w:hAnsi="宋体" w:cs="宋体"/>
                <w:szCs w:val="21"/>
              </w:rPr>
            </w:pPr>
            <w:r>
              <w:rPr>
                <w:rFonts w:hint="eastAsia" w:ascii="宋体" w:hAnsi="宋体" w:cs="宋体"/>
                <w:szCs w:val="21"/>
              </w:rPr>
              <w:t>1、投标报价得分四舍五入后，小数点后保留两位有效数。</w:t>
            </w:r>
          </w:p>
          <w:p w14:paraId="58CD0FA0">
            <w:pPr>
              <w:rPr>
                <w:rStyle w:val="20"/>
                <w:rFonts w:cs="宋体"/>
              </w:rPr>
            </w:pPr>
            <w:r>
              <w:rPr>
                <w:rStyle w:val="20"/>
                <w:rFonts w:hint="eastAsia" w:cs="宋体"/>
                <w:b/>
              </w:rPr>
              <w:t>2、因落实政府采购政策进行价格调整的，以调整后的价格计算评标基准价和投标报价，详见《价格扣除》。</w:t>
            </w:r>
          </w:p>
        </w:tc>
        <w:tc>
          <w:tcPr>
            <w:tcW w:w="920" w:type="dxa"/>
            <w:noWrap w:val="0"/>
            <w:vAlign w:val="center"/>
          </w:tcPr>
          <w:p w14:paraId="09571438">
            <w:pPr>
              <w:ind w:left="-78" w:leftChars="-37" w:right="-73" w:rightChars="-35"/>
              <w:jc w:val="center"/>
              <w:rPr>
                <w:rFonts w:ascii="宋体" w:hAnsi="宋体" w:cs="宋体"/>
                <w:szCs w:val="21"/>
              </w:rPr>
            </w:pPr>
            <w:r>
              <w:rPr>
                <w:rFonts w:hint="eastAsia" w:ascii="宋体" w:hAnsi="宋体" w:cs="宋体"/>
                <w:szCs w:val="21"/>
              </w:rPr>
              <w:t>30</w:t>
            </w:r>
          </w:p>
        </w:tc>
      </w:tr>
      <w:tr w14:paraId="6C5897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3" w:hRule="atLeast"/>
        </w:trPr>
        <w:tc>
          <w:tcPr>
            <w:tcW w:w="8227" w:type="dxa"/>
            <w:gridSpan w:val="3"/>
            <w:noWrap w:val="0"/>
            <w:vAlign w:val="center"/>
          </w:tcPr>
          <w:p w14:paraId="44FCF144">
            <w:pPr>
              <w:ind w:left="-78" w:leftChars="-37" w:right="-73" w:rightChars="-35"/>
              <w:jc w:val="center"/>
              <w:rPr>
                <w:rFonts w:ascii="宋体" w:hAnsi="宋体" w:cs="宋体"/>
                <w:szCs w:val="21"/>
              </w:rPr>
            </w:pPr>
            <w:r>
              <w:rPr>
                <w:rFonts w:hint="eastAsia" w:ascii="宋体" w:hAnsi="宋体" w:cs="宋体"/>
                <w:szCs w:val="21"/>
              </w:rPr>
              <w:t>合计</w:t>
            </w:r>
          </w:p>
        </w:tc>
        <w:tc>
          <w:tcPr>
            <w:tcW w:w="920" w:type="dxa"/>
            <w:noWrap w:val="0"/>
            <w:vAlign w:val="center"/>
          </w:tcPr>
          <w:p w14:paraId="562DEC25">
            <w:pPr>
              <w:ind w:left="-78" w:leftChars="-37" w:right="-73" w:rightChars="-35"/>
              <w:jc w:val="center"/>
              <w:rPr>
                <w:rFonts w:ascii="宋体" w:hAnsi="宋体" w:cs="宋体"/>
                <w:szCs w:val="21"/>
              </w:rPr>
            </w:pPr>
            <w:r>
              <w:rPr>
                <w:rFonts w:hint="eastAsia" w:ascii="宋体" w:hAnsi="宋体" w:cs="宋体"/>
                <w:szCs w:val="21"/>
              </w:rPr>
              <w:t>100</w:t>
            </w:r>
          </w:p>
        </w:tc>
      </w:tr>
    </w:tbl>
    <w:p w14:paraId="52C315A9">
      <w:bookmarkStart w:id="0" w:name="_GoBack"/>
      <w:bookmarkEnd w:id="0"/>
    </w:p>
    <w:p w14:paraId="2AAF631A">
      <w:pPr>
        <w:bidi w:val="0"/>
      </w:pPr>
    </w:p>
    <w:p w14:paraId="753E9651">
      <w:pPr>
        <w:bidi w:val="0"/>
      </w:pPr>
    </w:p>
    <w:p w14:paraId="712A722D">
      <w:pPr>
        <w:bidi w:val="0"/>
      </w:pPr>
    </w:p>
    <w:p w14:paraId="7CBA647B">
      <w:pPr>
        <w:tabs>
          <w:tab w:val="left" w:pos="3770"/>
        </w:tabs>
        <w:bidi w:val="0"/>
        <w:jc w:val="left"/>
        <w:rPr>
          <w:rFonts w:hint="eastAsia"/>
          <w:lang w:eastAsia="zh-CN"/>
        </w:rPr>
      </w:pPr>
    </w:p>
    <w:p w14:paraId="7FC33FC2">
      <w:pPr>
        <w:tabs>
          <w:tab w:val="left" w:pos="3770"/>
        </w:tabs>
        <w:bidi w:val="0"/>
        <w:jc w:val="left"/>
        <w:rPr>
          <w:rFonts w:hint="eastAsia"/>
          <w:lang w:eastAsia="zh-CN"/>
        </w:rPr>
      </w:pPr>
    </w:p>
    <w:p w14:paraId="2CEF2B47">
      <w:pPr>
        <w:tabs>
          <w:tab w:val="left" w:pos="3770"/>
        </w:tabs>
        <w:bidi w:val="0"/>
        <w:jc w:val="left"/>
        <w:rPr>
          <w:rFonts w:hint="eastAsia"/>
          <w:lang w:eastAsia="zh-CN"/>
        </w:rPr>
      </w:pPr>
    </w:p>
    <w:p w14:paraId="2A282214">
      <w:pPr>
        <w:pStyle w:val="9"/>
        <w:rPr>
          <w:rFonts w:hint="eastAsia"/>
          <w:lang w:eastAsia="zh-CN"/>
        </w:rPr>
      </w:pPr>
    </w:p>
    <w:p w14:paraId="18775AFE">
      <w:pPr>
        <w:pStyle w:val="9"/>
        <w:ind w:firstLine="4200" w:firstLineChars="1500"/>
        <w:rPr>
          <w:rFonts w:hint="eastAsia"/>
          <w:lang w:eastAsia="zh-CN"/>
        </w:rPr>
      </w:pPr>
      <w:r>
        <w:rPr>
          <w:rFonts w:hint="eastAsia"/>
          <w:lang w:val="en-US" w:eastAsia="zh-CN"/>
        </w:rPr>
        <w:t xml:space="preserve">  </w:t>
      </w:r>
    </w:p>
    <w:sectPr>
      <w:headerReference r:id="rId3" w:type="default"/>
      <w:footerReference r:id="rId4" w:type="default"/>
      <w:pgSz w:w="11906" w:h="16838"/>
      <w:pgMar w:top="1247" w:right="1133" w:bottom="1247" w:left="179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方正小标宋简体">
    <w:altName w:val="黑体"/>
    <w:panose1 w:val="02000000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729200"/>
    </w:sdtPr>
    <w:sdtContent>
      <w:p w14:paraId="2F87AFC5">
        <w:pPr>
          <w:pStyle w:val="10"/>
          <w:jc w:val="center"/>
        </w:pPr>
        <w:r>
          <w:fldChar w:fldCharType="begin"/>
        </w:r>
        <w:r>
          <w:instrText xml:space="preserve"> PAGE   \* MERGEFORMAT </w:instrText>
        </w:r>
        <w:r>
          <w:fldChar w:fldCharType="separate"/>
        </w:r>
        <w:r>
          <w:rPr>
            <w:lang w:val="zh-CN"/>
          </w:rPr>
          <w:t>7</w:t>
        </w:r>
        <w:r>
          <w:rPr>
            <w:lang w:val="zh-CN"/>
          </w:rPr>
          <w:fldChar w:fldCharType="end"/>
        </w:r>
      </w:p>
    </w:sdtContent>
  </w:sdt>
  <w:p w14:paraId="16E260C7">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6"/>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6"/>
    </w:tblGrid>
    <w:tr w14:paraId="1F82C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8976" w:type="dxa"/>
          <w:noWrap w:val="0"/>
          <w:vAlign w:val="top"/>
        </w:tcPr>
        <w:p w14:paraId="0B1ECE8E">
          <w:pPr>
            <w:pStyle w:val="11"/>
            <w:pBdr>
              <w:bottom w:val="none" w:color="auto" w:sz="0" w:space="0"/>
            </w:pBdr>
            <w:jc w:val="left"/>
            <w:rPr>
              <w:rFonts w:hint="eastAsia"/>
              <w:b/>
              <w:sz w:val="28"/>
            </w:rPr>
          </w:pPr>
          <w:r>
            <w:rPr>
              <w:rFonts w:hint="eastAsia"/>
              <w:b/>
              <w:sz w:val="28"/>
            </w:rPr>
            <w:t>科室民主管理小组每页签字：</w:t>
          </w:r>
        </w:p>
        <w:p w14:paraId="43018ED4">
          <w:pPr>
            <w:pStyle w:val="11"/>
            <w:pBdr>
              <w:bottom w:val="none" w:color="auto" w:sz="0" w:space="0"/>
            </w:pBdr>
            <w:jc w:val="left"/>
            <w:rPr>
              <w:rFonts w:hint="eastAsia"/>
              <w:b/>
              <w:sz w:val="28"/>
            </w:rPr>
          </w:pPr>
        </w:p>
        <w:p w14:paraId="65E23DCB">
          <w:pPr>
            <w:pStyle w:val="11"/>
            <w:pBdr>
              <w:bottom w:val="none" w:color="auto" w:sz="0" w:space="0"/>
            </w:pBdr>
            <w:jc w:val="left"/>
            <w:rPr>
              <w:rFonts w:hint="eastAsia"/>
              <w:b/>
              <w:sz w:val="28"/>
            </w:rPr>
          </w:pPr>
        </w:p>
        <w:p w14:paraId="3FAE4000">
          <w:pPr>
            <w:pStyle w:val="11"/>
            <w:pBdr>
              <w:bottom w:val="none" w:color="auto" w:sz="0" w:space="0"/>
            </w:pBdr>
            <w:jc w:val="left"/>
            <w:rPr>
              <w:b/>
            </w:rPr>
          </w:pPr>
          <w:r>
            <w:rPr>
              <w:rFonts w:hint="eastAsia"/>
              <w:b/>
              <w:sz w:val="28"/>
            </w:rPr>
            <w:t xml:space="preserve">                                          日期：</w:t>
          </w:r>
        </w:p>
      </w:tc>
    </w:tr>
  </w:tbl>
  <w:p w14:paraId="03F1E6C3">
    <w:pPr>
      <w:pStyle w:val="1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94DEB"/>
    <w:multiLevelType w:val="multilevel"/>
    <w:tmpl w:val="16294DEB"/>
    <w:lvl w:ilvl="0" w:tentative="0">
      <w:start w:val="1"/>
      <w:numFmt w:val="decimal"/>
      <w:lvlText w:val="%1."/>
      <w:lvlJc w:val="left"/>
      <w:pPr>
        <w:tabs>
          <w:tab w:val="left" w:pos="425"/>
        </w:tabs>
        <w:ind w:left="425" w:hanging="425"/>
      </w:pPr>
      <w:rPr>
        <w:rFonts w:hint="default"/>
      </w:rPr>
    </w:lvl>
    <w:lvl w:ilvl="1" w:tentative="0">
      <w:start w:val="1"/>
      <w:numFmt w:val="decimal"/>
      <w:lvlText w:val="%1.%2."/>
      <w:lvlJc w:val="left"/>
      <w:pPr>
        <w:tabs>
          <w:tab w:val="left" w:pos="567"/>
        </w:tabs>
        <w:ind w:left="567" w:hanging="567"/>
      </w:pPr>
      <w:rPr>
        <w:rFonts w:hint="default" w:ascii="Times New Roman" w:hAnsi="Times New Roman" w:cs="Times New Roman"/>
      </w:rPr>
    </w:lvl>
    <w:lvl w:ilvl="2" w:tentative="0">
      <w:start w:val="1"/>
      <w:numFmt w:val="decimal"/>
      <w:lvlText w:val="%1.%2.%3."/>
      <w:lvlJc w:val="left"/>
      <w:pPr>
        <w:tabs>
          <w:tab w:val="left" w:pos="709"/>
        </w:tabs>
        <w:ind w:left="709" w:hanging="709"/>
      </w:pPr>
      <w:rPr>
        <w:rFonts w:hint="default" w:ascii="Times New Roman" w:hAnsi="Times New Roman" w:cs="Times New Roman"/>
      </w:rPr>
    </w:lvl>
    <w:lvl w:ilvl="3" w:tentative="0">
      <w:start w:val="1"/>
      <w:numFmt w:val="decimal"/>
      <w:lvlText w:val="%1.%2.%3.%4."/>
      <w:lvlJc w:val="left"/>
      <w:pPr>
        <w:tabs>
          <w:tab w:val="left" w:pos="851"/>
        </w:tabs>
        <w:ind w:left="851" w:hanging="851"/>
      </w:pPr>
      <w:rPr>
        <w:rFonts w:hint="default" w:ascii="Times New Roman" w:hAnsi="Times New Roman" w:cs="Times New Roman"/>
      </w:rPr>
    </w:lvl>
    <w:lvl w:ilvl="4" w:tentative="0">
      <w:start w:val="1"/>
      <w:numFmt w:val="decimal"/>
      <w:lvlText w:val="%1.%2.%3.%4.%5."/>
      <w:lvlJc w:val="left"/>
      <w:pPr>
        <w:tabs>
          <w:tab w:val="left" w:pos="992"/>
        </w:tabs>
        <w:ind w:left="992" w:hanging="992"/>
      </w:pPr>
      <w:rPr>
        <w:rFonts w:hint="default" w:ascii="Times New Roman" w:hAnsi="Times New Roman" w:cs="Times New Roman"/>
      </w:rPr>
    </w:lvl>
    <w:lvl w:ilvl="5" w:tentative="0">
      <w:start w:val="1"/>
      <w:numFmt w:val="decimal"/>
      <w:lvlText w:val="%1.%2.%3.%4.%5.%6."/>
      <w:lvlJc w:val="left"/>
      <w:pPr>
        <w:tabs>
          <w:tab w:val="left" w:pos="1134"/>
        </w:tabs>
        <w:ind w:left="1134" w:hanging="1134"/>
      </w:pPr>
      <w:rPr>
        <w:rFonts w:hint="default" w:ascii="Times New Roman" w:hAnsi="Times New Roman" w:cs="Times New Roman"/>
      </w:rPr>
    </w:lvl>
    <w:lvl w:ilvl="6" w:tentative="0">
      <w:start w:val="1"/>
      <w:numFmt w:val="decimal"/>
      <w:lvlText w:val="%1.%2.%3.%4.%5.%6.%7."/>
      <w:lvlJc w:val="left"/>
      <w:pPr>
        <w:tabs>
          <w:tab w:val="left" w:pos="1276"/>
        </w:tabs>
        <w:ind w:left="1276" w:hanging="1276"/>
      </w:pPr>
      <w:rPr>
        <w:rFonts w:hint="default" w:ascii="Times New Roman" w:hAnsi="Times New Roman" w:cs="Times New Roman"/>
      </w:rPr>
    </w:lvl>
    <w:lvl w:ilvl="7" w:tentative="0">
      <w:start w:val="1"/>
      <w:numFmt w:val="decimal"/>
      <w:lvlText w:val="%1.%2.%3.%4.%5.%6.%7.%8."/>
      <w:lvlJc w:val="left"/>
      <w:pPr>
        <w:tabs>
          <w:tab w:val="left" w:pos="1418"/>
        </w:tabs>
        <w:ind w:left="1418" w:hanging="1418"/>
      </w:pPr>
      <w:rPr>
        <w:rFonts w:hint="default" w:ascii="Times New Roman" w:hAnsi="Times New Roman" w:cs="Times New Roman"/>
      </w:rPr>
    </w:lvl>
    <w:lvl w:ilvl="8" w:tentative="0">
      <w:start w:val="1"/>
      <w:numFmt w:val="decimal"/>
      <w:lvlText w:val="%1.%2.%3.%4.%5.%6.%7.%8.%9."/>
      <w:lvlJc w:val="left"/>
      <w:pPr>
        <w:tabs>
          <w:tab w:val="left" w:pos="1559"/>
        </w:tabs>
        <w:ind w:left="1559" w:hanging="1559"/>
      </w:pPr>
      <w:rPr>
        <w:rFonts w:hint="default" w:ascii="Times New Roman" w:hAnsi="Times New Roman" w:cs="Times New Roman"/>
      </w:rPr>
    </w:lvl>
  </w:abstractNum>
  <w:abstractNum w:abstractNumId="1">
    <w:nsid w:val="1CF63C98"/>
    <w:multiLevelType w:val="multilevel"/>
    <w:tmpl w:val="1CF63C98"/>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2">
    <w:nsid w:val="24714A5A"/>
    <w:multiLevelType w:val="multilevel"/>
    <w:tmpl w:val="24714A5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1623B4C"/>
    <w:multiLevelType w:val="multilevel"/>
    <w:tmpl w:val="61623B4C"/>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4">
    <w:nsid w:val="7C2D25F0"/>
    <w:multiLevelType w:val="multilevel"/>
    <w:tmpl w:val="7C2D25F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zZjUzOTFmMWYzNjcwMGFlNzM0ZWY5ZDc1Y2Y4NzEifQ=="/>
  </w:docVars>
  <w:rsids>
    <w:rsidRoot w:val="00172A27"/>
    <w:rsid w:val="00172A27"/>
    <w:rsid w:val="001A25EB"/>
    <w:rsid w:val="002E0B29"/>
    <w:rsid w:val="00325B4E"/>
    <w:rsid w:val="003B1DCD"/>
    <w:rsid w:val="003E5433"/>
    <w:rsid w:val="00413989"/>
    <w:rsid w:val="004B53DC"/>
    <w:rsid w:val="00553EFE"/>
    <w:rsid w:val="005E1F3C"/>
    <w:rsid w:val="005E2CE0"/>
    <w:rsid w:val="005E3207"/>
    <w:rsid w:val="005E73F3"/>
    <w:rsid w:val="00613347"/>
    <w:rsid w:val="00641368"/>
    <w:rsid w:val="00692A53"/>
    <w:rsid w:val="006A0829"/>
    <w:rsid w:val="007030BF"/>
    <w:rsid w:val="007622EC"/>
    <w:rsid w:val="007738D3"/>
    <w:rsid w:val="007F5D55"/>
    <w:rsid w:val="008620AC"/>
    <w:rsid w:val="008D00B2"/>
    <w:rsid w:val="008E7C61"/>
    <w:rsid w:val="009E1785"/>
    <w:rsid w:val="009F790F"/>
    <w:rsid w:val="00B35838"/>
    <w:rsid w:val="00DF4236"/>
    <w:rsid w:val="00E83052"/>
    <w:rsid w:val="00E967E2"/>
    <w:rsid w:val="00E96B89"/>
    <w:rsid w:val="00EE206A"/>
    <w:rsid w:val="00F035C8"/>
    <w:rsid w:val="00FA432C"/>
    <w:rsid w:val="011B32E0"/>
    <w:rsid w:val="01DE34BB"/>
    <w:rsid w:val="040F7B39"/>
    <w:rsid w:val="051D75E1"/>
    <w:rsid w:val="05273E70"/>
    <w:rsid w:val="05921E22"/>
    <w:rsid w:val="05DE6423"/>
    <w:rsid w:val="067708FD"/>
    <w:rsid w:val="06BE39D9"/>
    <w:rsid w:val="0704485D"/>
    <w:rsid w:val="072B60D8"/>
    <w:rsid w:val="07A02679"/>
    <w:rsid w:val="07B915AC"/>
    <w:rsid w:val="07C178CB"/>
    <w:rsid w:val="082F6A38"/>
    <w:rsid w:val="09EF6784"/>
    <w:rsid w:val="0B6A64D6"/>
    <w:rsid w:val="0BAE3A46"/>
    <w:rsid w:val="0D280BCD"/>
    <w:rsid w:val="0D893C76"/>
    <w:rsid w:val="0DED5ABC"/>
    <w:rsid w:val="0F6872F4"/>
    <w:rsid w:val="0FDF3497"/>
    <w:rsid w:val="0FFF53C6"/>
    <w:rsid w:val="10262412"/>
    <w:rsid w:val="108D0175"/>
    <w:rsid w:val="10F373B4"/>
    <w:rsid w:val="10F81590"/>
    <w:rsid w:val="110474D6"/>
    <w:rsid w:val="11237D7F"/>
    <w:rsid w:val="1187303D"/>
    <w:rsid w:val="119809CA"/>
    <w:rsid w:val="12331AC2"/>
    <w:rsid w:val="12B80323"/>
    <w:rsid w:val="13052443"/>
    <w:rsid w:val="132D5E57"/>
    <w:rsid w:val="13886434"/>
    <w:rsid w:val="145002FA"/>
    <w:rsid w:val="15990E90"/>
    <w:rsid w:val="15B10891"/>
    <w:rsid w:val="15BB15B5"/>
    <w:rsid w:val="16A97510"/>
    <w:rsid w:val="17714346"/>
    <w:rsid w:val="18CE3099"/>
    <w:rsid w:val="191E3DD6"/>
    <w:rsid w:val="19685B09"/>
    <w:rsid w:val="1A3100CD"/>
    <w:rsid w:val="1A5737E1"/>
    <w:rsid w:val="1A9D002E"/>
    <w:rsid w:val="1B49208B"/>
    <w:rsid w:val="1D1A560A"/>
    <w:rsid w:val="1D4569B7"/>
    <w:rsid w:val="1ECC2689"/>
    <w:rsid w:val="1ED3069A"/>
    <w:rsid w:val="1FC21AF3"/>
    <w:rsid w:val="201B0077"/>
    <w:rsid w:val="20926CAB"/>
    <w:rsid w:val="20BD5F9F"/>
    <w:rsid w:val="21C319BD"/>
    <w:rsid w:val="225E5CFF"/>
    <w:rsid w:val="228322EA"/>
    <w:rsid w:val="22FF23D3"/>
    <w:rsid w:val="23797751"/>
    <w:rsid w:val="248A5117"/>
    <w:rsid w:val="24A872D3"/>
    <w:rsid w:val="2577413D"/>
    <w:rsid w:val="25CE197B"/>
    <w:rsid w:val="25EF6C54"/>
    <w:rsid w:val="267274AD"/>
    <w:rsid w:val="284F0D34"/>
    <w:rsid w:val="28750DBE"/>
    <w:rsid w:val="28F87B6B"/>
    <w:rsid w:val="29295EFB"/>
    <w:rsid w:val="29F05E17"/>
    <w:rsid w:val="2D834187"/>
    <w:rsid w:val="2D842E64"/>
    <w:rsid w:val="2D884E7D"/>
    <w:rsid w:val="2ED75B7E"/>
    <w:rsid w:val="2F7F1232"/>
    <w:rsid w:val="30204B81"/>
    <w:rsid w:val="30724EC2"/>
    <w:rsid w:val="31EC2DB8"/>
    <w:rsid w:val="31F05FB9"/>
    <w:rsid w:val="328E2D0D"/>
    <w:rsid w:val="32F3562F"/>
    <w:rsid w:val="33824F75"/>
    <w:rsid w:val="33C15212"/>
    <w:rsid w:val="34733E19"/>
    <w:rsid w:val="347B44CF"/>
    <w:rsid w:val="34F26A38"/>
    <w:rsid w:val="361F082C"/>
    <w:rsid w:val="362B1B69"/>
    <w:rsid w:val="36975EA1"/>
    <w:rsid w:val="39B27C7F"/>
    <w:rsid w:val="3A496DE5"/>
    <w:rsid w:val="3A8974B4"/>
    <w:rsid w:val="3AD51E3B"/>
    <w:rsid w:val="3D663042"/>
    <w:rsid w:val="3E745E37"/>
    <w:rsid w:val="3EB05C6A"/>
    <w:rsid w:val="3FED5BEA"/>
    <w:rsid w:val="4034507A"/>
    <w:rsid w:val="417F5F74"/>
    <w:rsid w:val="41951E3B"/>
    <w:rsid w:val="425222CB"/>
    <w:rsid w:val="428E5704"/>
    <w:rsid w:val="432B1AFF"/>
    <w:rsid w:val="438B3E46"/>
    <w:rsid w:val="43D04E85"/>
    <w:rsid w:val="44EB5754"/>
    <w:rsid w:val="45114517"/>
    <w:rsid w:val="4521010E"/>
    <w:rsid w:val="457E2DDA"/>
    <w:rsid w:val="458B0BDB"/>
    <w:rsid w:val="45CB30E5"/>
    <w:rsid w:val="460436B8"/>
    <w:rsid w:val="462E3AEE"/>
    <w:rsid w:val="471C1984"/>
    <w:rsid w:val="47C25C55"/>
    <w:rsid w:val="480666C9"/>
    <w:rsid w:val="483372FA"/>
    <w:rsid w:val="486A31E5"/>
    <w:rsid w:val="48F23EB0"/>
    <w:rsid w:val="491D4036"/>
    <w:rsid w:val="4A5D578D"/>
    <w:rsid w:val="4A81797A"/>
    <w:rsid w:val="4AF52F9F"/>
    <w:rsid w:val="4AFA62C1"/>
    <w:rsid w:val="4B963383"/>
    <w:rsid w:val="4D277108"/>
    <w:rsid w:val="4D58766E"/>
    <w:rsid w:val="4DAD7A1C"/>
    <w:rsid w:val="4DB27C98"/>
    <w:rsid w:val="4E5E07AB"/>
    <w:rsid w:val="4E7B2EA1"/>
    <w:rsid w:val="4EFC6082"/>
    <w:rsid w:val="4F2933E6"/>
    <w:rsid w:val="4F3A2C72"/>
    <w:rsid w:val="4F4F44DD"/>
    <w:rsid w:val="4F733116"/>
    <w:rsid w:val="4F8427E5"/>
    <w:rsid w:val="4FBE7663"/>
    <w:rsid w:val="5029012B"/>
    <w:rsid w:val="505F396D"/>
    <w:rsid w:val="50750359"/>
    <w:rsid w:val="513A1B77"/>
    <w:rsid w:val="5154733A"/>
    <w:rsid w:val="51AC5958"/>
    <w:rsid w:val="52026987"/>
    <w:rsid w:val="524E55B4"/>
    <w:rsid w:val="5353260B"/>
    <w:rsid w:val="53A45B7E"/>
    <w:rsid w:val="54144196"/>
    <w:rsid w:val="5445094C"/>
    <w:rsid w:val="5478492E"/>
    <w:rsid w:val="55B15E93"/>
    <w:rsid w:val="56AE15B9"/>
    <w:rsid w:val="57E1285D"/>
    <w:rsid w:val="587432E0"/>
    <w:rsid w:val="596F6AE7"/>
    <w:rsid w:val="5AC26BB2"/>
    <w:rsid w:val="5ACC7971"/>
    <w:rsid w:val="5B512602"/>
    <w:rsid w:val="5B841EB1"/>
    <w:rsid w:val="5BD624E4"/>
    <w:rsid w:val="5C14628F"/>
    <w:rsid w:val="5D083B1C"/>
    <w:rsid w:val="5D35266F"/>
    <w:rsid w:val="5DC77AA6"/>
    <w:rsid w:val="5FB74208"/>
    <w:rsid w:val="60414555"/>
    <w:rsid w:val="6175217B"/>
    <w:rsid w:val="61EE4EB3"/>
    <w:rsid w:val="623A09E6"/>
    <w:rsid w:val="630E2FDF"/>
    <w:rsid w:val="633B6E7C"/>
    <w:rsid w:val="638F148F"/>
    <w:rsid w:val="63AB183E"/>
    <w:rsid w:val="64914DC6"/>
    <w:rsid w:val="65F35668"/>
    <w:rsid w:val="66225EEA"/>
    <w:rsid w:val="667759E5"/>
    <w:rsid w:val="669C21BA"/>
    <w:rsid w:val="674B3506"/>
    <w:rsid w:val="67743916"/>
    <w:rsid w:val="68813010"/>
    <w:rsid w:val="69287E45"/>
    <w:rsid w:val="6936551A"/>
    <w:rsid w:val="6A510C3C"/>
    <w:rsid w:val="6A7503C8"/>
    <w:rsid w:val="6AC00587"/>
    <w:rsid w:val="6B1D67E7"/>
    <w:rsid w:val="6B3E761B"/>
    <w:rsid w:val="6B891918"/>
    <w:rsid w:val="6C3F6A60"/>
    <w:rsid w:val="6D6B663D"/>
    <w:rsid w:val="6DB30AA4"/>
    <w:rsid w:val="6EA522B5"/>
    <w:rsid w:val="6EE679B1"/>
    <w:rsid w:val="6F137F97"/>
    <w:rsid w:val="6F4D2058"/>
    <w:rsid w:val="6F9708A0"/>
    <w:rsid w:val="6FDB5DF3"/>
    <w:rsid w:val="6FE46457"/>
    <w:rsid w:val="6FE87D2C"/>
    <w:rsid w:val="703E5897"/>
    <w:rsid w:val="70564192"/>
    <w:rsid w:val="707B36B7"/>
    <w:rsid w:val="70A62225"/>
    <w:rsid w:val="70C01F52"/>
    <w:rsid w:val="7107517F"/>
    <w:rsid w:val="711A106B"/>
    <w:rsid w:val="71916829"/>
    <w:rsid w:val="719921AA"/>
    <w:rsid w:val="72F26644"/>
    <w:rsid w:val="745914BB"/>
    <w:rsid w:val="75694284"/>
    <w:rsid w:val="75A619C9"/>
    <w:rsid w:val="75E76113"/>
    <w:rsid w:val="761932C0"/>
    <w:rsid w:val="76C662E3"/>
    <w:rsid w:val="76D96D33"/>
    <w:rsid w:val="7917268F"/>
    <w:rsid w:val="79D95BEF"/>
    <w:rsid w:val="7A121D25"/>
    <w:rsid w:val="7A180AC8"/>
    <w:rsid w:val="7A511B5E"/>
    <w:rsid w:val="7CA910FF"/>
    <w:rsid w:val="7D5E6639"/>
    <w:rsid w:val="7E0D2F6A"/>
    <w:rsid w:val="7EFF6FAF"/>
    <w:rsid w:val="7F7B1657"/>
    <w:rsid w:val="7FBB5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3"/>
    <w:next w:val="4"/>
    <w:autoRedefine/>
    <w:qFormat/>
    <w:uiPriority w:val="0"/>
    <w:pPr>
      <w:keepNext/>
      <w:keepLines/>
      <w:spacing w:before="260" w:after="260" w:line="416" w:lineRule="auto"/>
      <w:outlineLvl w:val="1"/>
    </w:pPr>
    <w:rPr>
      <w:rFonts w:ascii="Arial" w:hAnsi="Arial" w:eastAsia="黑体"/>
      <w:sz w:val="32"/>
      <w:szCs w:val="32"/>
    </w:rPr>
  </w:style>
  <w:style w:type="paragraph" w:styleId="3">
    <w:name w:val="heading 3"/>
    <w:basedOn w:val="4"/>
    <w:next w:val="1"/>
    <w:link w:val="26"/>
    <w:autoRedefine/>
    <w:semiHidden/>
    <w:unhideWhenUsed/>
    <w:qFormat/>
    <w:uiPriority w:val="0"/>
    <w:pPr>
      <w:keepNext/>
      <w:keepLines/>
      <w:spacing w:before="260" w:after="260" w:line="416" w:lineRule="auto"/>
      <w:outlineLvl w:val="2"/>
    </w:pPr>
    <w:rPr>
      <w:sz w:val="32"/>
      <w:szCs w:val="32"/>
    </w:rPr>
  </w:style>
  <w:style w:type="paragraph" w:styleId="4">
    <w:name w:val="heading 4"/>
    <w:basedOn w:val="1"/>
    <w:next w:val="1"/>
    <w:autoRedefine/>
    <w:qFormat/>
    <w:uiPriority w:val="0"/>
    <w:pPr>
      <w:keepNext/>
      <w:keepLines/>
      <w:spacing w:before="280" w:after="290" w:line="376" w:lineRule="auto"/>
      <w:outlineLvl w:val="3"/>
    </w:pPr>
    <w:rPr>
      <w:rFonts w:ascii="Arial" w:hAnsi="Arial" w:eastAsia="黑体"/>
      <w:b/>
      <w:bCs/>
      <w:kern w:val="0"/>
      <w:sz w:val="28"/>
      <w:szCs w:val="28"/>
    </w:rPr>
  </w:style>
  <w:style w:type="character" w:default="1" w:styleId="17">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pPr>
    <w:rPr>
      <w:rFonts w:ascii="Times New Roman" w:hAnsi="Times New Roman"/>
      <w:kern w:val="0"/>
      <w:sz w:val="20"/>
      <w:szCs w:val="20"/>
    </w:rPr>
  </w:style>
  <w:style w:type="paragraph" w:styleId="6">
    <w:name w:val="annotation text"/>
    <w:basedOn w:val="1"/>
    <w:link w:val="21"/>
    <w:autoRedefine/>
    <w:qFormat/>
    <w:uiPriority w:val="0"/>
    <w:pPr>
      <w:jc w:val="left"/>
    </w:pPr>
    <w:rPr>
      <w:rFonts w:asciiTheme="minorHAnsi" w:hAnsiTheme="minorHAnsi" w:eastAsiaTheme="minorEastAsia" w:cstheme="minorBidi"/>
    </w:rPr>
  </w:style>
  <w:style w:type="paragraph" w:styleId="7">
    <w:name w:val="Body Text"/>
    <w:basedOn w:val="1"/>
    <w:next w:val="1"/>
    <w:autoRedefine/>
    <w:qFormat/>
    <w:uiPriority w:val="0"/>
    <w:pPr>
      <w:spacing w:after="120"/>
    </w:pPr>
  </w:style>
  <w:style w:type="paragraph" w:styleId="8">
    <w:name w:val="Plain Text"/>
    <w:basedOn w:val="1"/>
    <w:link w:val="24"/>
    <w:autoRedefine/>
    <w:qFormat/>
    <w:uiPriority w:val="0"/>
    <w:rPr>
      <w:rFonts w:ascii="宋体" w:hAnsi="Courier New" w:eastAsiaTheme="minorEastAsia" w:cstheme="minorBidi"/>
      <w:szCs w:val="20"/>
    </w:rPr>
  </w:style>
  <w:style w:type="paragraph" w:styleId="9">
    <w:name w:val="endnote text"/>
    <w:basedOn w:val="1"/>
    <w:autoRedefine/>
    <w:qFormat/>
    <w:uiPriority w:val="0"/>
    <w:pPr>
      <w:snapToGrid w:val="0"/>
      <w:jc w:val="left"/>
    </w:pPr>
    <w:rPr>
      <w:rFonts w:ascii="宋体" w:hAnsi="宋体"/>
      <w:kern w:val="0"/>
      <w:sz w:val="28"/>
    </w:rPr>
  </w:style>
  <w:style w:type="paragraph" w:styleId="10">
    <w:name w:val="footer"/>
    <w:basedOn w:val="1"/>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5"/>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HTML Preformatted"/>
    <w:basedOn w:val="1"/>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kern w:val="0"/>
      <w:szCs w:val="21"/>
    </w:rPr>
  </w:style>
  <w:style w:type="paragraph" w:styleId="13">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14">
    <w:name w:val="Title"/>
    <w:basedOn w:val="1"/>
    <w:next w:val="1"/>
    <w:autoRedefine/>
    <w:qFormat/>
    <w:uiPriority w:val="0"/>
    <w:pPr>
      <w:spacing w:before="240" w:after="60"/>
      <w:jc w:val="center"/>
      <w:outlineLvl w:val="0"/>
    </w:pPr>
    <w:rPr>
      <w:rFonts w:ascii="Cambria" w:hAnsi="Cambria"/>
      <w:b/>
      <w:bCs/>
      <w:sz w:val="32"/>
      <w:szCs w:val="32"/>
    </w:rPr>
  </w:style>
  <w:style w:type="paragraph" w:styleId="15">
    <w:name w:val="annotation subject"/>
    <w:basedOn w:val="6"/>
    <w:next w:val="6"/>
    <w:link w:val="22"/>
    <w:autoRedefine/>
    <w:qFormat/>
    <w:uiPriority w:val="0"/>
    <w:rPr>
      <w:rFonts w:ascii="Times New Roman" w:hAnsi="Times New Roman" w:eastAsia="宋体" w:cs="Times New Roman"/>
      <w:b/>
      <w:bCs/>
    </w:rPr>
  </w:style>
  <w:style w:type="character" w:styleId="18">
    <w:name w:val="FollowedHyperlink"/>
    <w:basedOn w:val="17"/>
    <w:autoRedefine/>
    <w:qFormat/>
    <w:uiPriority w:val="0"/>
    <w:rPr>
      <w:rFonts w:hint="eastAsia" w:ascii="黑体" w:hAnsi="宋体" w:eastAsia="黑体" w:cs="黑体"/>
      <w:color w:val="000000"/>
      <w:u w:val="none"/>
    </w:rPr>
  </w:style>
  <w:style w:type="character" w:styleId="19">
    <w:name w:val="Hyperlink"/>
    <w:basedOn w:val="17"/>
    <w:autoRedefine/>
    <w:qFormat/>
    <w:uiPriority w:val="0"/>
    <w:rPr>
      <w:rFonts w:ascii="黑体" w:hAnsi="宋体" w:eastAsia="黑体" w:cs="黑体"/>
      <w:color w:val="000000"/>
      <w:u w:val="none"/>
    </w:rPr>
  </w:style>
  <w:style w:type="character" w:styleId="20">
    <w:name w:val="annotation reference"/>
    <w:basedOn w:val="17"/>
    <w:autoRedefine/>
    <w:qFormat/>
    <w:uiPriority w:val="0"/>
    <w:rPr>
      <w:sz w:val="21"/>
      <w:szCs w:val="21"/>
    </w:rPr>
  </w:style>
  <w:style w:type="character" w:customStyle="1" w:styleId="21">
    <w:name w:val="批注文字 字符"/>
    <w:basedOn w:val="17"/>
    <w:link w:val="6"/>
    <w:autoRedefine/>
    <w:qFormat/>
    <w:uiPriority w:val="0"/>
    <w:rPr>
      <w:rFonts w:asciiTheme="minorHAnsi" w:hAnsiTheme="minorHAnsi" w:eastAsiaTheme="minorEastAsia" w:cstheme="minorBidi"/>
      <w:kern w:val="2"/>
      <w:sz w:val="21"/>
      <w:szCs w:val="24"/>
    </w:rPr>
  </w:style>
  <w:style w:type="character" w:customStyle="1" w:styleId="22">
    <w:name w:val="批注主题 字符"/>
    <w:basedOn w:val="21"/>
    <w:link w:val="15"/>
    <w:autoRedefine/>
    <w:qFormat/>
    <w:uiPriority w:val="0"/>
    <w:rPr>
      <w:rFonts w:asciiTheme="minorHAnsi" w:hAnsiTheme="minorHAnsi" w:eastAsiaTheme="minorEastAsia" w:cstheme="minorBidi"/>
      <w:b/>
      <w:bCs/>
      <w:kern w:val="2"/>
      <w:sz w:val="21"/>
      <w:szCs w:val="24"/>
    </w:rPr>
  </w:style>
  <w:style w:type="character" w:customStyle="1" w:styleId="23">
    <w:name w:val="未处理的提及1"/>
    <w:basedOn w:val="17"/>
    <w:autoRedefine/>
    <w:semiHidden/>
    <w:unhideWhenUsed/>
    <w:qFormat/>
    <w:uiPriority w:val="99"/>
    <w:rPr>
      <w:color w:val="605E5C"/>
      <w:shd w:val="clear" w:color="auto" w:fill="E1DFDD"/>
    </w:rPr>
  </w:style>
  <w:style w:type="character" w:customStyle="1" w:styleId="24">
    <w:name w:val="纯文本 字符"/>
    <w:basedOn w:val="17"/>
    <w:link w:val="8"/>
    <w:autoRedefine/>
    <w:qFormat/>
    <w:uiPriority w:val="0"/>
    <w:rPr>
      <w:rFonts w:ascii="宋体" w:hAnsi="Courier New" w:eastAsiaTheme="minorEastAsia" w:cstheme="minorBidi"/>
      <w:kern w:val="2"/>
      <w:sz w:val="21"/>
    </w:rPr>
  </w:style>
  <w:style w:type="character" w:customStyle="1" w:styleId="25">
    <w:name w:val="页眉 字符"/>
    <w:basedOn w:val="17"/>
    <w:link w:val="11"/>
    <w:autoRedefine/>
    <w:qFormat/>
    <w:uiPriority w:val="0"/>
    <w:rPr>
      <w:kern w:val="2"/>
      <w:sz w:val="18"/>
      <w:szCs w:val="18"/>
    </w:rPr>
  </w:style>
  <w:style w:type="character" w:customStyle="1" w:styleId="26">
    <w:name w:val="标题 3 字符"/>
    <w:basedOn w:val="17"/>
    <w:link w:val="3"/>
    <w:autoRedefine/>
    <w:semiHidden/>
    <w:qFormat/>
    <w:uiPriority w:val="0"/>
    <w:rPr>
      <w:b/>
      <w:bCs/>
      <w:kern w:val="2"/>
      <w:sz w:val="32"/>
      <w:szCs w:val="32"/>
    </w:rPr>
  </w:style>
  <w:style w:type="paragraph" w:styleId="27">
    <w:name w:val="List Paragraph"/>
    <w:basedOn w:val="1"/>
    <w:autoRedefine/>
    <w:qFormat/>
    <w:uiPriority w:val="99"/>
    <w:pPr>
      <w:ind w:firstLine="420" w:firstLineChars="200"/>
    </w:pPr>
  </w:style>
  <w:style w:type="paragraph" w:customStyle="1" w:styleId="28">
    <w:name w:val=".."/>
    <w:basedOn w:val="1"/>
    <w:next w:val="1"/>
    <w:autoRedefine/>
    <w:qFormat/>
    <w:uiPriority w:val="0"/>
    <w:pPr>
      <w:autoSpaceDE w:val="0"/>
      <w:autoSpaceDN w:val="0"/>
      <w:adjustRightInd w:val="0"/>
      <w:jc w:val="left"/>
    </w:pPr>
    <w:rPr>
      <w:rFonts w:ascii="Arial Unicode MS" w:hAnsi="Times New Roman" w:eastAsia="Arial Unicode MS"/>
      <w:kern w:val="0"/>
      <w:sz w:val="24"/>
      <w:szCs w:val="24"/>
    </w:rPr>
  </w:style>
  <w:style w:type="paragraph" w:customStyle="1" w:styleId="29">
    <w:name w:val="列出段落1"/>
    <w:basedOn w:val="1"/>
    <w:autoRedefine/>
    <w:qFormat/>
    <w:uiPriority w:val="34"/>
    <w:pPr>
      <w:ind w:firstLine="420" w:firstLineChars="200"/>
    </w:pPr>
    <w:rPr>
      <w:szCs w:val="24"/>
    </w:rPr>
  </w:style>
  <w:style w:type="paragraph" w:customStyle="1" w:styleId="30">
    <w:name w:val="表格文字"/>
    <w:basedOn w:val="1"/>
    <w:autoRedefine/>
    <w:qFormat/>
    <w:uiPriority w:val="0"/>
    <w:pPr>
      <w:spacing w:before="25" w:after="25" w:line="240" w:lineRule="auto"/>
      <w:ind w:firstLine="0"/>
      <w:jc w:val="left"/>
    </w:pPr>
    <w:rPr>
      <w:bCs/>
      <w:spacing w:val="1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5366</Words>
  <Characters>5596</Characters>
  <Lines>4</Lines>
  <Paragraphs>10</Paragraphs>
  <TotalTime>8</TotalTime>
  <ScaleCrop>false</ScaleCrop>
  <LinksUpToDate>false</LinksUpToDate>
  <CharactersWithSpaces>6038</CharactersWithSpaces>
  <Application>WPS Office_12.1.0.18909_F1E327BC-269C-435d-A152-05C5408002CA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2021-07-30T07:28:00Z</dcterms:created>
  <dc:creator>Administrator</dc:creator>
  <cp:lastModifiedBy>胡俊</cp:lastModifiedBy>
  <dcterms:modified xsi:type="dcterms:W3CDTF">2025-03-19T01:58:28Z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2052-12.1.0.18909</vt:lpwstr>
  </property>
  <property fmtid="{D5CDD505-2E9C-101B-9397-08002B2CF9AE}" pid="3" name="ICV">
    <vt:lpwstr>15B9EBB6E19F4EDEB3920D6F29A57898_13</vt:lpwstr>
  </property>
  <property fmtid="{D5CDD505-2E9C-101B-9397-08002B2CF9AE}" pid="4" name="KSOTemplateDocerSaveRecord">
    <vt:lpwstr>eyJoZGlkIjoiMjlhNjY1MGIyZjA5ODQ3ODBjYmIzZGQyYWRlMjk1NWYiLCJ1c2VySWQiOiIyMzQzNjQ0NTUifQ==</vt:lpwstr>
  </property>
</Properties>
</file>