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eastAsia="黑体" w:cs="黑体"/>
          <w:b/>
          <w:bCs/>
          <w:sz w:val="24"/>
          <w:szCs w:val="24"/>
          <w:lang w:val="en-US" w:eastAsia="zh-CN"/>
        </w:rPr>
      </w:pPr>
      <w:r>
        <w:rPr>
          <w:rFonts w:hint="eastAsia" w:eastAsia="黑体" w:cs="黑体"/>
          <w:b w:val="0"/>
          <w:bCs w:val="0"/>
          <w:sz w:val="24"/>
          <w:szCs w:val="24"/>
          <w:lang w:eastAsia="zh-CN"/>
        </w:rPr>
        <w:t>合同编号：</w:t>
      </w:r>
      <w:r>
        <w:rPr>
          <w:rFonts w:hint="eastAsia" w:eastAsia="黑体" w:cs="黑体"/>
          <w:b w:val="0"/>
          <w:bCs w:val="0"/>
          <w:sz w:val="24"/>
          <w:szCs w:val="24"/>
          <w:lang w:val="en-US" w:eastAsia="zh-CN"/>
        </w:rPr>
        <w:t>SL-</w:t>
      </w:r>
    </w:p>
    <w:p>
      <w:pPr>
        <w:jc w:val="center"/>
        <w:rPr>
          <w:rFonts w:hint="eastAsia" w:cs="黑体" w:asciiTheme="minorEastAsia" w:hAnsiTheme="minorEastAsia" w:eastAsiaTheme="minorEastAsia"/>
          <w:b/>
          <w:bCs/>
          <w:sz w:val="36"/>
          <w:szCs w:val="36"/>
          <w:lang w:eastAsia="zh-CN"/>
        </w:rPr>
      </w:pPr>
    </w:p>
    <w:p>
      <w:pPr>
        <w:jc w:val="center"/>
        <w:rPr>
          <w:rFonts w:hint="eastAsia"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深圳市第三人民医院</w:t>
      </w:r>
    </w:p>
    <w:p>
      <w:pPr>
        <w:jc w:val="center"/>
        <w:outlineLvl w:val="0"/>
        <w:rPr>
          <w:rFonts w:cs="黑体" w:asciiTheme="minorEastAsia" w:hAnsiTheme="minorEastAsia" w:eastAsiaTheme="minorEastAsia"/>
          <w:b/>
          <w:bCs/>
          <w:sz w:val="36"/>
          <w:szCs w:val="36"/>
          <w:lang w:eastAsia="zh-CN"/>
        </w:rPr>
      </w:pPr>
      <w:r>
        <w:rPr>
          <w:rFonts w:hint="eastAsia" w:cs="黑体" w:asciiTheme="minorEastAsia" w:hAnsiTheme="minorEastAsia" w:eastAsiaTheme="minorEastAsia"/>
          <w:b/>
          <w:bCs/>
          <w:sz w:val="36"/>
          <w:szCs w:val="36"/>
          <w:lang w:eastAsia="zh-CN"/>
        </w:rPr>
        <w:t>临床试验CRC服务三方协议</w:t>
      </w:r>
    </w:p>
    <w:p>
      <w:pPr>
        <w:rPr>
          <w:lang w:eastAsia="zh-CN"/>
        </w:rPr>
      </w:pPr>
    </w:p>
    <w:p>
      <w:pPr>
        <w:spacing w:line="360" w:lineRule="auto"/>
        <w:rPr>
          <w:rFonts w:hint="eastAsia" w:asciiTheme="minorEastAsia" w:hAnsiTheme="minorEastAsia" w:eastAsiaTheme="minorEastAsia"/>
          <w:b/>
          <w:sz w:val="24"/>
          <w:szCs w:val="24"/>
          <w:lang w:eastAsia="zh-CN"/>
        </w:rPr>
      </w:pPr>
    </w:p>
    <w:p>
      <w:pPr>
        <w:spacing w:line="360" w:lineRule="auto"/>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项目名称（方案编号）:</w:t>
      </w:r>
      <w:r>
        <w:rPr>
          <w:rFonts w:asciiTheme="minorEastAsia" w:hAnsiTheme="minorEastAsia" w:eastAsiaTheme="minorEastAsia"/>
          <w:b/>
          <w:sz w:val="28"/>
          <w:szCs w:val="28"/>
          <w:lang w:eastAsia="zh-CN"/>
        </w:rPr>
        <w:t xml:space="preserve"> </w:t>
      </w:r>
    </w:p>
    <w:p>
      <w:pPr>
        <w:spacing w:line="360" w:lineRule="auto"/>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 xml:space="preserve">                                                               </w:t>
      </w:r>
      <w:r>
        <w:rPr>
          <w:rFonts w:asciiTheme="minorEastAsia" w:hAnsiTheme="minorEastAsia" w:eastAsiaTheme="minorEastAsia"/>
          <w:b/>
          <w:sz w:val="24"/>
          <w:szCs w:val="24"/>
          <w:lang w:eastAsia="zh-CN"/>
        </w:rPr>
        <w:t xml:space="preserve">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75"/>
        <w:gridCol w:w="3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0139" w:type="dxa"/>
            <w:gridSpan w:val="2"/>
            <w:vAlign w:val="bottom"/>
          </w:tcPr>
          <w:p>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甲方（申办方）：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地址：</w:t>
            </w:r>
          </w:p>
        </w:tc>
        <w:tc>
          <w:tcPr>
            <w:tcW w:w="3864" w:type="dxa"/>
            <w:vAlign w:val="bottom"/>
          </w:tcPr>
          <w:p>
            <w:pPr>
              <w:spacing w:line="360" w:lineRule="auto"/>
              <w:jc w:val="both"/>
              <w:rPr>
                <w:rFonts w:cs="Times New Roman" w:asciiTheme="minorEastAsia" w:hAnsiTheme="minorEastAsia" w:eastAsiaTheme="minorEastAsia"/>
                <w:b/>
                <w:sz w:val="24"/>
                <w:szCs w:val="24"/>
                <w:vertAlign w:val="baseline"/>
                <w:lang w:val="en-US" w:eastAsia="zh-CN" w:bidi="ar-SA"/>
              </w:rPr>
            </w:pPr>
            <w:r>
              <w:rPr>
                <w:rFonts w:hint="eastAsia" w:asciiTheme="minorEastAsia" w:hAnsiTheme="minorEastAsia" w:eastAsiaTheme="minorEastAsia"/>
                <w:b/>
                <w:sz w:val="24"/>
                <w:szCs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w:t>
            </w:r>
          </w:p>
        </w:tc>
        <w:tc>
          <w:tcPr>
            <w:tcW w:w="3864" w:type="dxa"/>
            <w:vAlign w:val="bottom"/>
          </w:tcPr>
          <w:p>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75" w:type="dxa"/>
            <w:vAlign w:val="bottom"/>
          </w:tcPr>
          <w:p>
            <w:pPr>
              <w:spacing w:line="360" w:lineRule="auto"/>
              <w:jc w:val="both"/>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64" w:type="dxa"/>
            <w:vAlign w:val="bottom"/>
          </w:tcPr>
          <w:p>
            <w:pPr>
              <w:spacing w:line="360" w:lineRule="auto"/>
              <w:jc w:val="both"/>
              <w:rPr>
                <w:rFonts w:asciiTheme="minorEastAsia" w:hAnsiTheme="minorEastAsia" w:eastAsiaTheme="minorEastAsia"/>
                <w:b/>
                <w:sz w:val="24"/>
                <w:szCs w:val="24"/>
                <w:vertAlign w:val="baseline"/>
                <w:lang w:eastAsia="zh-CN"/>
              </w:rPr>
            </w:pPr>
          </w:p>
        </w:tc>
      </w:tr>
    </w:tbl>
    <w:p>
      <w:pPr>
        <w:spacing w:line="360" w:lineRule="auto"/>
        <w:jc w:val="left"/>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 xml:space="preserve">  </w:t>
      </w:r>
    </w:p>
    <w:p>
      <w:pPr>
        <w:spacing w:line="360" w:lineRule="auto"/>
        <w:jc w:val="left"/>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val="en-US" w:eastAsia="zh-CN"/>
        </w:rPr>
        <w:t xml:space="preserve">                 </w:t>
      </w:r>
      <w:r>
        <w:rPr>
          <w:rFonts w:hint="eastAsia" w:asciiTheme="minorEastAsia" w:hAnsiTheme="minorEastAsia" w:eastAsiaTheme="minorEastAsia"/>
          <w:b/>
          <w:sz w:val="24"/>
          <w:szCs w:val="24"/>
          <w:lang w:eastAsia="zh-CN"/>
        </w:rPr>
        <w:t xml:space="preserve">                        </w:t>
      </w: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2"/>
        <w:gridCol w:w="3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39" w:type="dxa"/>
            <w:gridSpan w:val="2"/>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乙方</w:t>
            </w:r>
            <w:r>
              <w:rPr>
                <w:rFonts w:hint="eastAsia" w:cs="宋体"/>
                <w:b/>
                <w:bCs/>
                <w:sz w:val="24"/>
                <w:szCs w:val="24"/>
                <w:lang w:eastAsia="zh-CN"/>
              </w:rPr>
              <w:t>（研究机构）</w:t>
            </w:r>
            <w:r>
              <w:rPr>
                <w:rFonts w:hint="eastAsia" w:asciiTheme="minorEastAsia" w:hAnsiTheme="minorEastAsia" w:eastAsiaTheme="minorEastAsia"/>
                <w:b/>
                <w:sz w:val="24"/>
                <w:szCs w:val="24"/>
                <w:lang w:eastAsia="zh-CN"/>
              </w:rPr>
              <w:t>：深圳市第三人民医院</w:t>
            </w:r>
            <w:r>
              <w:rPr>
                <w:rFonts w:hint="eastAsia" w:asciiTheme="minorEastAsia" w:hAnsiTheme="minorEastAsia" w:eastAsiaTheme="minorEastAsia"/>
                <w:b/>
                <w:color w:val="C00000"/>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地址：深圳市龙岗区布澜路29号 </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邮编：518012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联系人：孟现民</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val="en-US" w:eastAsia="zh-CN"/>
              </w:rPr>
              <w:t>联系电话：0755-61238920</w:t>
            </w:r>
            <w:r>
              <w:rPr>
                <w:rFonts w:hint="eastAsia" w:asciiTheme="minorEastAsia" w:hAnsiTheme="minorEastAsia" w:eastAsiaTheme="minorEastAsia"/>
                <w:b/>
                <w:sz w:val="24"/>
                <w:szCs w:val="24"/>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主要研究者：  </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02"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37"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 xml:space="preserve"> </w:t>
            </w:r>
          </w:p>
        </w:tc>
      </w:tr>
    </w:tbl>
    <w:p>
      <w:pPr>
        <w:spacing w:line="360" w:lineRule="auto"/>
        <w:jc w:val="left"/>
        <w:rPr>
          <w:rFonts w:asciiTheme="minorEastAsia" w:hAnsiTheme="minorEastAsia" w:eastAsiaTheme="minorEastAsia"/>
          <w:b/>
          <w:sz w:val="24"/>
          <w:szCs w:val="24"/>
          <w:lang w:eastAsia="zh-CN"/>
        </w:rPr>
      </w:pPr>
    </w:p>
    <w:p>
      <w:pPr>
        <w:spacing w:line="360" w:lineRule="auto"/>
        <w:jc w:val="left"/>
        <w:rPr>
          <w:rFonts w:asciiTheme="minorEastAsia" w:hAnsiTheme="minorEastAsia" w:eastAsiaTheme="minorEastAsia"/>
          <w:b/>
          <w:sz w:val="24"/>
          <w:szCs w:val="24"/>
          <w:lang w:eastAsia="zh-CN"/>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8"/>
        <w:gridCol w:w="3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139" w:type="dxa"/>
            <w:gridSpan w:val="2"/>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丙方（</w:t>
            </w:r>
            <w:r>
              <w:rPr>
                <w:rFonts w:hint="eastAsia" w:asciiTheme="minorEastAsia" w:hAnsiTheme="minorEastAsia" w:eastAsiaTheme="minorEastAsia"/>
                <w:b/>
                <w:sz w:val="24"/>
                <w:szCs w:val="24"/>
                <w:lang w:val="en-US" w:eastAsia="zh-CN"/>
              </w:rPr>
              <w:t>SMO</w:t>
            </w:r>
            <w:r>
              <w:rPr>
                <w:rFonts w:hint="eastAsia" w:asciiTheme="minorEastAsia" w:hAnsiTheme="minorEastAsia" w:eastAsiaTheme="minorEastAsia"/>
                <w:b/>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地址：</w:t>
            </w:r>
          </w:p>
        </w:tc>
        <w:tc>
          <w:tcPr>
            <w:tcW w:w="3851" w:type="dxa"/>
          </w:tcPr>
          <w:p>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联系人：</w:t>
            </w:r>
          </w:p>
        </w:tc>
        <w:tc>
          <w:tcPr>
            <w:tcW w:w="3851" w:type="dxa"/>
          </w:tcPr>
          <w:p>
            <w:pPr>
              <w:spacing w:line="36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88" w:type="dxa"/>
          </w:tcPr>
          <w:p>
            <w:pPr>
              <w:spacing w:line="360" w:lineRule="auto"/>
              <w:jc w:val="left"/>
              <w:rPr>
                <w:rFonts w:asciiTheme="minorEastAsia" w:hAnsiTheme="minorEastAsia" w:eastAsiaTheme="minorEastAsia"/>
                <w:b/>
                <w:sz w:val="24"/>
                <w:szCs w:val="24"/>
                <w:vertAlign w:val="baseline"/>
                <w:lang w:eastAsia="zh-CN"/>
              </w:rPr>
            </w:pPr>
            <w:r>
              <w:rPr>
                <w:rFonts w:hint="eastAsia" w:asciiTheme="minorEastAsia" w:hAnsiTheme="minorEastAsia" w:eastAsiaTheme="minorEastAsia"/>
                <w:b/>
                <w:sz w:val="24"/>
                <w:szCs w:val="24"/>
                <w:lang w:eastAsia="zh-CN"/>
              </w:rPr>
              <w:t>E-mail：</w:t>
            </w:r>
          </w:p>
        </w:tc>
        <w:tc>
          <w:tcPr>
            <w:tcW w:w="3851" w:type="dxa"/>
          </w:tcPr>
          <w:p>
            <w:pPr>
              <w:spacing w:line="360" w:lineRule="auto"/>
              <w:jc w:val="left"/>
              <w:rPr>
                <w:rFonts w:asciiTheme="minorEastAsia" w:hAnsiTheme="minorEastAsia" w:eastAsiaTheme="minorEastAsia"/>
                <w:b/>
                <w:sz w:val="24"/>
                <w:szCs w:val="24"/>
                <w:vertAlign w:val="baseline"/>
                <w:lang w:eastAsia="zh-CN"/>
              </w:rPr>
            </w:pPr>
          </w:p>
        </w:tc>
      </w:tr>
    </w:tbl>
    <w:p>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br w:type="page"/>
      </w:r>
    </w:p>
    <w:p>
      <w:pPr>
        <w:keepNext w:val="0"/>
        <w:keepLines w:val="0"/>
        <w:pageBreakBefore w:val="0"/>
        <w:widowControl w:val="0"/>
        <w:tabs>
          <w:tab w:val="left" w:pos="3969"/>
        </w:tabs>
        <w:kinsoku/>
        <w:wordWrap/>
        <w:overflowPunct/>
        <w:topLinePunct w:val="0"/>
        <w:autoSpaceDE/>
        <w:autoSpaceDN/>
        <w:bidi w:val="0"/>
        <w:adjustRightInd w:val="0"/>
        <w:snapToGrid/>
        <w:spacing w:line="360" w:lineRule="auto"/>
        <w:ind w:firstLine="480" w:firstLineChars="200"/>
        <w:textAlignment w:val="baseline"/>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鉴于：甲方已与乙方签订了临床试验协议（协议编号：</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），根据临床试验协议</w:t>
      </w:r>
      <w:r>
        <w:rPr>
          <w:rFonts w:hint="eastAsia" w:asciiTheme="minorEastAsia" w:hAnsiTheme="minorEastAsia" w:eastAsiaTheme="minorEastAsia"/>
          <w:sz w:val="24"/>
          <w:szCs w:val="24"/>
          <w:lang w:val="en-US" w:eastAsia="zh-CN"/>
        </w:rPr>
        <w:t>约定</w:t>
      </w:r>
      <w:r>
        <w:rPr>
          <w:rFonts w:hint="eastAsia" w:asciiTheme="minorEastAsia" w:hAnsiTheme="minorEastAsia" w:eastAsiaTheme="minorEastAsia"/>
          <w:sz w:val="24"/>
          <w:szCs w:val="24"/>
          <w:lang w:eastAsia="zh-CN"/>
        </w:rPr>
        <w:t>，甲方委托乙方，由乙方指派（XXX）主任作为主要研究者开展一项“</w:t>
      </w:r>
      <w:r>
        <w:rPr>
          <w:rFonts w:hint="eastAsia" w:asciiTheme="minorEastAsia" w:hAnsiTheme="minorEastAsia" w:eastAsiaTheme="minorEastAsia"/>
          <w:color w:val="4F81BD" w:themeColor="accent1"/>
          <w:sz w:val="24"/>
          <w:szCs w:val="24"/>
          <w:lang w:eastAsia="zh-CN"/>
          <w14:textFill>
            <w14:solidFill>
              <w14:schemeClr w14:val="accent1"/>
            </w14:solidFill>
          </w14:textFill>
        </w:rPr>
        <w:t>项目名称（方案编号）</w:t>
      </w:r>
      <w:r>
        <w:rPr>
          <w:rFonts w:hint="eastAsia" w:asciiTheme="minorEastAsia" w:hAnsiTheme="minorEastAsia" w:eastAsiaTheme="minorEastAsia"/>
          <w:sz w:val="24"/>
          <w:szCs w:val="24"/>
          <w:lang w:eastAsia="zh-CN"/>
        </w:rPr>
        <w:t>”，乙方承诺其将严格按照临床试验协议及研究方案的要求进行临床研究。为帮助临床研究的进行，</w:t>
      </w:r>
      <w:r>
        <w:rPr>
          <w:rFonts w:hint="eastAsia" w:asciiTheme="minorEastAsia" w:hAnsiTheme="minorEastAsia" w:eastAsiaTheme="minorEastAsia"/>
          <w:sz w:val="24"/>
          <w:szCs w:val="24"/>
          <w:lang w:val="en-US" w:eastAsia="zh-CN"/>
        </w:rPr>
        <w:t>甲</w:t>
      </w:r>
      <w:r>
        <w:rPr>
          <w:rFonts w:hint="eastAsia" w:asciiTheme="minorEastAsia" w:hAnsiTheme="minorEastAsia" w:eastAsiaTheme="minorEastAsia"/>
          <w:sz w:val="24"/>
          <w:szCs w:val="24"/>
          <w:lang w:eastAsia="zh-CN"/>
        </w:rPr>
        <w:t>方委托丙方指派临床研究协调员（以下简称CRC），完成临床研究协助支持服务。</w:t>
      </w:r>
    </w:p>
    <w:p>
      <w:pPr>
        <w:keepNext w:val="0"/>
        <w:keepLines w:val="0"/>
        <w:pageBreakBefore w:val="0"/>
        <w:widowControl w:val="0"/>
        <w:tabs>
          <w:tab w:val="left" w:pos="3969"/>
        </w:tabs>
        <w:kinsoku/>
        <w:wordWrap/>
        <w:overflowPunct/>
        <w:topLinePunct w:val="0"/>
        <w:autoSpaceDE/>
        <w:autoSpaceDN/>
        <w:bidi w:val="0"/>
        <w:adjustRightInd w:val="0"/>
        <w:snapToGrid/>
        <w:spacing w:line="360" w:lineRule="auto"/>
        <w:ind w:firstLine="480" w:firstLineChars="200"/>
        <w:textAlignment w:val="baseline"/>
        <w:rPr>
          <w:rFonts w:cs="宋体"/>
          <w:sz w:val="24"/>
          <w:szCs w:val="24"/>
          <w:lang w:eastAsia="zh-CN"/>
        </w:rPr>
      </w:pPr>
      <w:r>
        <w:rPr>
          <w:rFonts w:hint="eastAsia" w:cs="宋体"/>
          <w:sz w:val="24"/>
          <w:szCs w:val="24"/>
          <w:lang w:eastAsia="zh-CN"/>
        </w:rPr>
        <w:t>现甲、乙、丙三方经过平等协商，在真实、充分地表达各自意愿的基础上，根据《中华人民共和国民法典》等相关法律法规的规定，就上述相关事宜达成如下协议，并由三方共同恪守。</w:t>
      </w:r>
    </w:p>
    <w:p>
      <w:pPr>
        <w:spacing w:line="360" w:lineRule="auto"/>
        <w:outlineLvl w:val="0"/>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一、合作事项</w:t>
      </w:r>
    </w:p>
    <w:p>
      <w:pPr>
        <w:numPr>
          <w:ilvl w:val="0"/>
          <w:numId w:val="2"/>
        </w:numPr>
        <w:spacing w:line="360" w:lineRule="auto"/>
        <w:ind w:left="845" w:leftChars="0" w:hanging="425" w:firstLineChars="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甲方委托乙方作为本试验的</w:t>
      </w:r>
      <w:r>
        <w:rPr>
          <w:rFonts w:hint="eastAsia" w:asciiTheme="minorEastAsia" w:hAnsiTheme="minorEastAsia" w:eastAsiaTheme="minorEastAsia"/>
          <w:color w:val="4F81BD" w:themeColor="accent1"/>
          <w:sz w:val="24"/>
          <w:szCs w:val="24"/>
          <w:lang w:eastAsia="zh-CN"/>
          <w14:textFill>
            <w14:solidFill>
              <w14:schemeClr w14:val="accent1"/>
            </w14:solidFill>
          </w14:textFill>
        </w:rPr>
        <w:t>组长</w:t>
      </w:r>
      <w:r>
        <w:rPr>
          <w:rFonts w:hint="eastAsia" w:asciiTheme="minorEastAsia" w:hAnsiTheme="minorEastAsia" w:eastAsiaTheme="minorEastAsia"/>
          <w:color w:val="4F81BD" w:themeColor="accent1"/>
          <w:sz w:val="24"/>
          <w:szCs w:val="24"/>
          <w:lang w:val="en-US" w:eastAsia="zh-CN"/>
          <w14:textFill>
            <w14:solidFill>
              <w14:schemeClr w14:val="accent1"/>
            </w14:solidFill>
          </w14:textFill>
        </w:rPr>
        <w:t>/参研</w:t>
      </w:r>
      <w:r>
        <w:rPr>
          <w:rFonts w:asciiTheme="minorEastAsia" w:hAnsiTheme="minorEastAsia" w:eastAsiaTheme="minorEastAsia"/>
          <w:sz w:val="24"/>
          <w:szCs w:val="24"/>
          <w:lang w:eastAsia="zh-CN"/>
        </w:rPr>
        <w:t>单位，</w:t>
      </w:r>
      <w:r>
        <w:rPr>
          <w:rFonts w:hint="eastAsia" w:asciiTheme="minorEastAsia" w:hAnsiTheme="minorEastAsia" w:eastAsiaTheme="minorEastAsia"/>
          <w:sz w:val="24"/>
          <w:szCs w:val="24"/>
          <w:lang w:eastAsia="zh-CN"/>
        </w:rPr>
        <w:t>由乙方</w:t>
      </w:r>
      <w:r>
        <w:rPr>
          <w:rFonts w:asciiTheme="minorEastAsia" w:hAnsiTheme="minorEastAsia" w:eastAsiaTheme="minorEastAsia"/>
          <w:sz w:val="24"/>
          <w:szCs w:val="24"/>
          <w:lang w:eastAsia="zh-CN"/>
        </w:rPr>
        <w:t>按照试验方案以及病例报告表的相关要求</w:t>
      </w:r>
      <w:r>
        <w:rPr>
          <w:sz w:val="24"/>
          <w:szCs w:val="24"/>
          <w:lang w:eastAsia="zh-CN"/>
        </w:rPr>
        <w:t>进行</w:t>
      </w:r>
      <w:r>
        <w:rPr>
          <w:rFonts w:hint="eastAsia"/>
          <w:color w:val="4F81BD" w:themeColor="accent1"/>
          <w:sz w:val="24"/>
          <w:szCs w:val="24"/>
          <w:lang w:eastAsia="zh-CN"/>
          <w14:textFill>
            <w14:solidFill>
              <w14:schemeClr w14:val="accent1"/>
            </w14:solidFill>
          </w14:textFill>
        </w:rPr>
        <w:t>XX</w:t>
      </w:r>
      <w:r>
        <w:rPr>
          <w:rFonts w:hint="eastAsia" w:asciiTheme="minorEastAsia" w:hAnsiTheme="minorEastAsia" w:eastAsiaTheme="minorEastAsia"/>
          <w:sz w:val="24"/>
          <w:szCs w:val="24"/>
          <w:lang w:eastAsia="zh-CN"/>
        </w:rPr>
        <w:t>临床</w:t>
      </w:r>
      <w:r>
        <w:rPr>
          <w:rFonts w:hint="eastAsia"/>
          <w:sz w:val="24"/>
          <w:szCs w:val="24"/>
          <w:lang w:eastAsia="zh-CN"/>
        </w:rPr>
        <w:t>试验（</w:t>
      </w:r>
      <w:r>
        <w:rPr>
          <w:rFonts w:hint="eastAsia"/>
          <w:color w:val="4F81BD" w:themeColor="accent1"/>
          <w:sz w:val="24"/>
          <w:szCs w:val="24"/>
          <w:lang w:eastAsia="zh-CN"/>
          <w14:textFill>
            <w14:solidFill>
              <w14:schemeClr w14:val="accent1"/>
            </w14:solidFill>
          </w14:textFill>
        </w:rPr>
        <w:t>方案编号</w:t>
      </w:r>
      <w:r>
        <w:rPr>
          <w:rFonts w:hint="eastAsia"/>
          <w:sz w:val="24"/>
          <w:szCs w:val="24"/>
          <w:lang w:eastAsia="zh-CN"/>
        </w:rPr>
        <w:t>）</w:t>
      </w:r>
      <w:r>
        <w:rPr>
          <w:sz w:val="24"/>
          <w:szCs w:val="24"/>
          <w:lang w:eastAsia="zh-CN"/>
        </w:rPr>
        <w:t>。</w:t>
      </w:r>
      <w:r>
        <w:rPr>
          <w:rFonts w:hint="eastAsia"/>
          <w:sz w:val="24"/>
          <w:szCs w:val="24"/>
          <w:lang w:eastAsia="zh-CN"/>
        </w:rPr>
        <w:t>甲、乙双方共同协商</w:t>
      </w:r>
      <w:r>
        <w:rPr>
          <w:rFonts w:hint="eastAsia"/>
          <w:sz w:val="24"/>
          <w:szCs w:val="24"/>
          <w:lang w:val="en-US" w:eastAsia="zh-CN"/>
        </w:rPr>
        <w:t>一致，</w:t>
      </w:r>
      <w:r>
        <w:rPr>
          <w:rFonts w:hint="eastAsia"/>
          <w:sz w:val="24"/>
          <w:szCs w:val="24"/>
          <w:lang w:eastAsia="zh-CN"/>
        </w:rPr>
        <w:t>同意</w:t>
      </w:r>
      <w:r>
        <w:rPr>
          <w:rFonts w:hint="eastAsia"/>
          <w:sz w:val="24"/>
          <w:szCs w:val="24"/>
          <w:lang w:val="en-US" w:eastAsia="zh-CN"/>
        </w:rPr>
        <w:t>甲方</w:t>
      </w:r>
      <w:r>
        <w:rPr>
          <w:rFonts w:hint="eastAsia"/>
          <w:sz w:val="24"/>
          <w:szCs w:val="24"/>
          <w:lang w:eastAsia="zh-CN"/>
        </w:rPr>
        <w:t>委托丙方为本试验</w:t>
      </w:r>
      <w:r>
        <w:rPr>
          <w:rFonts w:hint="eastAsia"/>
          <w:sz w:val="24"/>
          <w:szCs w:val="24"/>
          <w:lang w:val="en-US" w:eastAsia="zh-CN"/>
        </w:rPr>
        <w:t>指派</w:t>
      </w:r>
      <w:r>
        <w:rPr>
          <w:rFonts w:hint="eastAsia"/>
          <w:sz w:val="24"/>
          <w:szCs w:val="24"/>
          <w:lang w:eastAsia="zh-CN"/>
        </w:rPr>
        <w:t>合格的临床研究协调员(以下简称CRC</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丙方指派的</w:t>
      </w:r>
      <w:r>
        <w:rPr>
          <w:rFonts w:hint="eastAsia"/>
          <w:sz w:val="24"/>
          <w:szCs w:val="24"/>
          <w:lang w:eastAsia="zh-CN"/>
        </w:rPr>
        <w:t>CRC</w:t>
      </w:r>
      <w:r>
        <w:rPr>
          <w:rFonts w:hint="eastAsia" w:asciiTheme="minorEastAsia" w:hAnsiTheme="minorEastAsia" w:eastAsiaTheme="minorEastAsia"/>
          <w:sz w:val="24"/>
          <w:szCs w:val="24"/>
          <w:lang w:eastAsia="zh-CN"/>
        </w:rPr>
        <w:t>遵照主要研究者的要求并在本协议附件一约定的服务范围内向乙方提供服务。</w:t>
      </w:r>
    </w:p>
    <w:p>
      <w:pPr>
        <w:numPr>
          <w:ilvl w:val="0"/>
          <w:numId w:val="2"/>
        </w:numPr>
        <w:spacing w:line="360" w:lineRule="auto"/>
        <w:ind w:left="845" w:leftChars="0" w:hanging="425" w:firstLineChars="0"/>
        <w:rPr>
          <w:sz w:val="24"/>
          <w:szCs w:val="24"/>
          <w:lang w:eastAsia="zh-CN"/>
        </w:rPr>
      </w:pPr>
      <w:r>
        <w:rPr>
          <w:rFonts w:hint="eastAsia" w:hAnsi="宋体" w:cs="宋体"/>
          <w:sz w:val="24"/>
          <w:szCs w:val="24"/>
          <w:lang w:eastAsia="zh-CN"/>
        </w:rPr>
        <w:t>乙</w:t>
      </w:r>
      <w:r>
        <w:rPr>
          <w:rFonts w:hint="eastAsia" w:asciiTheme="minorEastAsia" w:hAnsiTheme="minorEastAsia" w:eastAsiaTheme="minorEastAsia"/>
          <w:sz w:val="24"/>
          <w:szCs w:val="24"/>
          <w:lang w:eastAsia="zh-CN"/>
        </w:rPr>
        <w:t>方负责的专业组</w:t>
      </w:r>
      <w:r>
        <w:rPr>
          <w:rFonts w:hint="eastAsia"/>
          <w:sz w:val="24"/>
          <w:szCs w:val="24"/>
          <w:lang w:eastAsia="zh-CN"/>
        </w:rPr>
        <w:t>：</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 主要研究者：</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w:t>
      </w:r>
    </w:p>
    <w:p>
      <w:pPr>
        <w:numPr>
          <w:ilvl w:val="0"/>
          <w:numId w:val="2"/>
        </w:numPr>
        <w:spacing w:line="360" w:lineRule="auto"/>
        <w:ind w:left="845" w:leftChars="0" w:hanging="425" w:firstLineChars="0"/>
        <w:rPr>
          <w:rFonts w:asciiTheme="minorEastAsia" w:hAnsiTheme="minorEastAsia" w:eastAsiaTheme="minorEastAsia"/>
          <w:sz w:val="24"/>
          <w:szCs w:val="24"/>
          <w:lang w:eastAsia="zh-CN"/>
        </w:rPr>
      </w:pPr>
      <w:r>
        <w:rPr>
          <w:rFonts w:hint="eastAsia"/>
          <w:sz w:val="24"/>
          <w:szCs w:val="24"/>
          <w:lang w:eastAsia="zh-CN"/>
        </w:rPr>
        <w:t>本试验总设计例数为：</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例，甲方计划委托乙方完成</w:t>
      </w:r>
      <w:r>
        <w:rPr>
          <w:rFonts w:hint="eastAsia"/>
          <w:color w:val="4F81BD" w:themeColor="accent1"/>
          <w:sz w:val="24"/>
          <w:szCs w:val="24"/>
          <w:lang w:eastAsia="zh-CN"/>
          <w14:textFill>
            <w14:solidFill>
              <w14:schemeClr w14:val="accent1"/>
            </w14:solidFill>
          </w14:textFill>
        </w:rPr>
        <w:t>XXX</w:t>
      </w:r>
      <w:r>
        <w:rPr>
          <w:rFonts w:hint="eastAsia"/>
          <w:sz w:val="24"/>
          <w:szCs w:val="24"/>
          <w:lang w:eastAsia="zh-CN"/>
        </w:rPr>
        <w:t>例</w:t>
      </w:r>
      <w:r>
        <w:rPr>
          <w:rFonts w:hint="eastAsia" w:asciiTheme="minorEastAsia" w:hAnsiTheme="minorEastAsia" w:eastAsiaTheme="minorEastAsia"/>
          <w:sz w:val="24"/>
          <w:szCs w:val="24"/>
          <w:lang w:eastAsia="zh-CN"/>
        </w:rPr>
        <w:t>。</w:t>
      </w:r>
    </w:p>
    <w:p>
      <w:pPr>
        <w:spacing w:line="360" w:lineRule="auto"/>
        <w:outlineLvl w:val="0"/>
        <w:rPr>
          <w:rFonts w:cs="楷体_GB2312" w:asciiTheme="minorEastAsia" w:hAnsiTheme="minorEastAsia" w:eastAsiaTheme="minorEastAsia"/>
          <w:b/>
          <w:color w:val="000000"/>
          <w:sz w:val="24"/>
          <w:szCs w:val="24"/>
          <w:lang w:eastAsia="zh-CN"/>
        </w:rPr>
      </w:pPr>
      <w:r>
        <w:rPr>
          <w:rFonts w:hint="eastAsia" w:cs="楷体_GB2312" w:asciiTheme="minorEastAsia" w:hAnsiTheme="minorEastAsia" w:eastAsiaTheme="minorEastAsia"/>
          <w:b/>
          <w:color w:val="000000"/>
          <w:sz w:val="24"/>
          <w:szCs w:val="24"/>
          <w:lang w:eastAsia="zh-CN"/>
        </w:rPr>
        <w:t>二、各方职责和义务</w:t>
      </w:r>
    </w:p>
    <w:p>
      <w:pPr>
        <w:spacing w:line="360" w:lineRule="auto"/>
        <w:outlineLvl w:val="1"/>
        <w:rPr>
          <w:sz w:val="24"/>
          <w:szCs w:val="24"/>
          <w:lang w:eastAsia="zh-CN"/>
        </w:rPr>
      </w:pPr>
      <w:r>
        <w:rPr>
          <w:rFonts w:hint="eastAsia" w:cs="宋体"/>
          <w:sz w:val="24"/>
          <w:szCs w:val="24"/>
          <w:lang w:eastAsia="zh-CN"/>
        </w:rPr>
        <w:t>（一）甲方职责和义务</w:t>
      </w:r>
    </w:p>
    <w:p>
      <w:pPr>
        <w:numPr>
          <w:ilvl w:val="0"/>
          <w:numId w:val="3"/>
        </w:numPr>
        <w:spacing w:line="360" w:lineRule="auto"/>
        <w:ind w:left="845" w:leftChars="0" w:hanging="425" w:firstLineChars="0"/>
        <w:rPr>
          <w:rFonts w:hint="eastAsia" w:hAnsi="宋体" w:cs="宋体"/>
          <w:sz w:val="24"/>
          <w:szCs w:val="24"/>
          <w:lang w:eastAsia="zh-CN"/>
        </w:rPr>
      </w:pPr>
      <w:r>
        <w:rPr>
          <w:rFonts w:hint="eastAsia" w:hAnsi="宋体" w:cs="宋体"/>
          <w:sz w:val="24"/>
          <w:szCs w:val="24"/>
          <w:lang w:eastAsia="zh-CN"/>
        </w:rPr>
        <w:t>甲方承诺其已获得一切必要授权以签署本协议，并于此确认甲方签署本协议不违反、抵触其与第三方达成的任何协议，亦不违反其应该遵守的法律、法规、职业行为规范和职业道德准则以及其所隶属或服务的单位、机构或组织的内部政策或规定。</w:t>
      </w:r>
    </w:p>
    <w:p>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甲方对丙方派遣的</w:t>
      </w:r>
      <w:r>
        <w:rPr>
          <w:sz w:val="24"/>
          <w:szCs w:val="24"/>
          <w:lang w:eastAsia="zh-CN"/>
        </w:rPr>
        <w:t>CRC</w:t>
      </w:r>
      <w:r>
        <w:rPr>
          <w:rFonts w:hint="eastAsia" w:hAnsi="宋体" w:cs="宋体"/>
          <w:sz w:val="24"/>
          <w:szCs w:val="24"/>
          <w:lang w:eastAsia="zh-CN"/>
        </w:rPr>
        <w:t>进行所服务项目的方案和试验药品相关培训，并保证其能够胜任本协议中规定的</w:t>
      </w:r>
      <w:r>
        <w:rPr>
          <w:sz w:val="24"/>
          <w:szCs w:val="24"/>
          <w:lang w:eastAsia="zh-CN"/>
        </w:rPr>
        <w:t>CRC</w:t>
      </w:r>
      <w:r>
        <w:rPr>
          <w:rFonts w:hint="eastAsia" w:hAnsi="宋体" w:cs="宋体"/>
          <w:sz w:val="24"/>
          <w:szCs w:val="24"/>
          <w:lang w:eastAsia="zh-CN"/>
        </w:rPr>
        <w:t>服务职责。甲方向乙方承诺其委托的丙方具有履行</w:t>
      </w:r>
      <w:r>
        <w:rPr>
          <w:sz w:val="24"/>
          <w:szCs w:val="24"/>
          <w:lang w:eastAsia="zh-CN"/>
        </w:rPr>
        <w:t>CRC</w:t>
      </w:r>
      <w:r>
        <w:rPr>
          <w:rFonts w:hint="eastAsia" w:hAnsi="宋体" w:cs="宋体"/>
          <w:sz w:val="24"/>
          <w:szCs w:val="24"/>
          <w:lang w:eastAsia="zh-CN"/>
        </w:rPr>
        <w:t>服务所必需的以及相关法律法规所要求的资质；</w:t>
      </w:r>
      <w:r>
        <w:rPr>
          <w:rFonts w:hint="eastAsia" w:ascii="宋体" w:hAnsi="宋体" w:cs="宋体"/>
          <w:sz w:val="24"/>
          <w:szCs w:val="24"/>
        </w:rPr>
        <w:t>如甲方发现丙方提供的服务人员不能胜任CRC服务，甲方有权要求丙方更换服务人员。</w:t>
      </w:r>
    </w:p>
    <w:p>
      <w:pPr>
        <w:numPr>
          <w:ilvl w:val="0"/>
          <w:numId w:val="3"/>
        </w:numPr>
        <w:spacing w:line="360" w:lineRule="auto"/>
        <w:ind w:left="845" w:leftChars="0" w:hanging="425" w:firstLineChars="0"/>
        <w:rPr>
          <w:sz w:val="24"/>
          <w:szCs w:val="24"/>
          <w:lang w:eastAsia="zh-CN"/>
        </w:rPr>
      </w:pPr>
      <w:r>
        <w:rPr>
          <w:rFonts w:hint="eastAsia" w:ascii="宋体" w:hAnsi="宋体" w:cs="宋体"/>
          <w:kern w:val="0"/>
          <w:sz w:val="24"/>
          <w:szCs w:val="24"/>
        </w:rPr>
        <w:t>甲方有权获知本临床研究项目协调进展的全部过程，并保留随时对各研究中心临床稽查的权利，但不得用不符合法律法规的方式方法干涉乙方及丙方的有效工作程序。</w:t>
      </w:r>
    </w:p>
    <w:p>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甲方委托丙方提供的</w:t>
      </w:r>
      <w:r>
        <w:rPr>
          <w:sz w:val="24"/>
          <w:szCs w:val="24"/>
          <w:lang w:eastAsia="zh-CN"/>
        </w:rPr>
        <w:t>CRC</w:t>
      </w:r>
      <w:r>
        <w:rPr>
          <w:rFonts w:hint="eastAsia" w:hAnsi="宋体" w:cs="宋体"/>
          <w:sz w:val="24"/>
          <w:szCs w:val="24"/>
          <w:lang w:eastAsia="zh-CN"/>
        </w:rPr>
        <w:t>技术服务所产生的经费和所有开支均由甲、丙双方协商，乙方不</w:t>
      </w:r>
      <w:r>
        <w:rPr>
          <w:rFonts w:hint="eastAsia" w:hAnsi="宋体" w:cs="宋体"/>
          <w:sz w:val="24"/>
          <w:szCs w:val="24"/>
          <w:lang w:val="en-US" w:eastAsia="zh-CN"/>
        </w:rPr>
        <w:t>对丙方</w:t>
      </w:r>
      <w:r>
        <w:rPr>
          <w:rFonts w:hint="eastAsia" w:hAnsi="宋体" w:cs="宋体"/>
          <w:sz w:val="24"/>
          <w:szCs w:val="24"/>
          <w:lang w:eastAsia="zh-CN"/>
        </w:rPr>
        <w:t>进行额外补偿。</w:t>
      </w:r>
    </w:p>
    <w:p>
      <w:pPr>
        <w:numPr>
          <w:ilvl w:val="0"/>
          <w:numId w:val="3"/>
        </w:numPr>
        <w:spacing w:line="360" w:lineRule="auto"/>
        <w:ind w:left="845" w:leftChars="0" w:hanging="425" w:firstLineChars="0"/>
        <w:rPr>
          <w:sz w:val="24"/>
          <w:szCs w:val="24"/>
          <w:lang w:eastAsia="zh-CN"/>
        </w:rPr>
      </w:pPr>
      <w:r>
        <w:rPr>
          <w:rFonts w:hint="eastAsia" w:hAnsi="宋体" w:cs="宋体"/>
          <w:sz w:val="24"/>
          <w:szCs w:val="24"/>
          <w:lang w:eastAsia="zh-CN"/>
        </w:rPr>
        <w:t>甲方负责提供开展服务项目所必需的试验资料、材料和相关信息。</w:t>
      </w:r>
    </w:p>
    <w:p>
      <w:pPr>
        <w:numPr>
          <w:ilvl w:val="0"/>
          <w:numId w:val="3"/>
        </w:numPr>
        <w:spacing w:line="360" w:lineRule="auto"/>
        <w:ind w:left="845" w:leftChars="0" w:hanging="425" w:firstLineChars="0"/>
        <w:rPr>
          <w:rFonts w:hAnsi="宋体" w:cs="宋体"/>
          <w:sz w:val="24"/>
          <w:szCs w:val="24"/>
          <w:lang w:eastAsia="zh-CN"/>
        </w:rPr>
      </w:pPr>
      <w:r>
        <w:rPr>
          <w:rFonts w:hint="eastAsia" w:hAnsi="宋体" w:cs="宋体"/>
          <w:sz w:val="24"/>
          <w:szCs w:val="24"/>
          <w:lang w:eastAsia="zh-CN"/>
        </w:rPr>
        <w:t>甲方承诺由于丙方</w:t>
      </w:r>
      <w:r>
        <w:rPr>
          <w:rFonts w:hAnsi="宋体" w:cs="宋体"/>
          <w:sz w:val="24"/>
          <w:szCs w:val="24"/>
          <w:lang w:eastAsia="zh-CN"/>
        </w:rPr>
        <w:t>CRC</w:t>
      </w:r>
      <w:r>
        <w:rPr>
          <w:rFonts w:hint="eastAsia" w:hAnsi="宋体" w:cs="宋体"/>
          <w:sz w:val="24"/>
          <w:szCs w:val="24"/>
          <w:lang w:eastAsia="zh-CN"/>
        </w:rPr>
        <w:t>服务所造成的任何伤害和损失，乙方及乙方研究人员免于承担责任。</w:t>
      </w:r>
    </w:p>
    <w:p>
      <w:pPr>
        <w:spacing w:line="360" w:lineRule="auto"/>
        <w:ind w:left="283" w:leftChars="60" w:hanging="163" w:hangingChars="68"/>
        <w:outlineLvl w:val="1"/>
        <w:rPr>
          <w:rFonts w:hAnsi="宋体" w:cs="宋体"/>
          <w:sz w:val="24"/>
          <w:szCs w:val="24"/>
          <w:lang w:eastAsia="zh-CN"/>
        </w:rPr>
      </w:pPr>
      <w:r>
        <w:rPr>
          <w:rFonts w:hint="eastAsia" w:hAnsi="宋体" w:cs="宋体"/>
          <w:sz w:val="24"/>
          <w:szCs w:val="24"/>
          <w:lang w:eastAsia="zh-CN"/>
        </w:rPr>
        <w:t>（二）乙方职责与义务</w:t>
      </w:r>
    </w:p>
    <w:p>
      <w:pPr>
        <w:numPr>
          <w:ilvl w:val="0"/>
          <w:numId w:val="4"/>
        </w:numPr>
        <w:spacing w:line="360" w:lineRule="auto"/>
        <w:ind w:left="845" w:leftChars="0" w:hanging="425" w:firstLineChars="0"/>
        <w:rPr>
          <w:rFonts w:hint="eastAsia" w:hAnsi="宋体" w:cs="宋体"/>
          <w:sz w:val="24"/>
          <w:szCs w:val="24"/>
          <w:lang w:eastAsia="zh-CN"/>
        </w:rPr>
      </w:pPr>
      <w:r>
        <w:rPr>
          <w:rFonts w:hint="eastAsia" w:hAnsi="宋体" w:cs="宋体"/>
          <w:sz w:val="24"/>
          <w:szCs w:val="24"/>
          <w:lang w:eastAsia="zh-CN"/>
        </w:rPr>
        <w:t>乙方承诺其已获得一切必要授权以签署本协议，并于此确认乙方签署本协议不违反、抵触其与第三方达成的任何协议，亦不违反其应该遵守的法律、法规、职业行为规范和职业道德准则以及其所隶属或服务的单位、机构或组织的内部政策或规定。</w:t>
      </w:r>
    </w:p>
    <w:p>
      <w:pPr>
        <w:numPr>
          <w:ilvl w:val="0"/>
          <w:numId w:val="4"/>
        </w:numPr>
        <w:spacing w:line="360" w:lineRule="auto"/>
        <w:ind w:left="845" w:leftChars="0" w:hanging="425" w:firstLineChars="0"/>
        <w:rPr>
          <w:sz w:val="24"/>
          <w:szCs w:val="24"/>
          <w:lang w:eastAsia="zh-CN"/>
        </w:rPr>
      </w:pPr>
      <w:r>
        <w:rPr>
          <w:rFonts w:hint="eastAsia"/>
          <w:sz w:val="24"/>
          <w:szCs w:val="24"/>
          <w:lang w:eastAsia="zh-CN"/>
        </w:rPr>
        <w:t>乙方应向丙方提供开展服务项目所必需的试验资料、材料和相关信息以推进本协议的顺利履行。</w:t>
      </w:r>
    </w:p>
    <w:p>
      <w:pPr>
        <w:numPr>
          <w:ilvl w:val="0"/>
          <w:numId w:val="4"/>
        </w:numPr>
        <w:spacing w:line="360" w:lineRule="auto"/>
        <w:ind w:left="845" w:leftChars="0" w:hanging="425" w:firstLineChars="0"/>
        <w:rPr>
          <w:sz w:val="24"/>
          <w:szCs w:val="24"/>
          <w:lang w:eastAsia="zh-CN"/>
        </w:rPr>
      </w:pPr>
      <w:r>
        <w:rPr>
          <w:rFonts w:hint="eastAsia"/>
          <w:sz w:val="24"/>
          <w:szCs w:val="24"/>
          <w:lang w:eastAsia="zh-CN"/>
        </w:rPr>
        <w:t>乙方研究者应为</w:t>
      </w:r>
      <w:r>
        <w:rPr>
          <w:rFonts w:hint="eastAsia"/>
          <w:sz w:val="24"/>
          <w:szCs w:val="24"/>
          <w:lang w:val="en-US" w:eastAsia="zh-CN"/>
        </w:rPr>
        <w:t>CRC提供</w:t>
      </w:r>
      <w:r>
        <w:rPr>
          <w:rFonts w:hint="eastAsia"/>
          <w:sz w:val="24"/>
          <w:szCs w:val="24"/>
          <w:lang w:eastAsia="zh-CN"/>
        </w:rPr>
        <w:t>工作场所、工作条件和其他临床试验工作所需的便利，并使CRC</w:t>
      </w:r>
      <w:r>
        <w:rPr>
          <w:rFonts w:hint="eastAsia" w:ascii="宋体" w:hAnsi="宋体"/>
          <w:sz w:val="24"/>
          <w:szCs w:val="24"/>
          <w:lang w:eastAsia="zh-CN"/>
        </w:rPr>
        <w:t>获得授权进入受试者病房、查阅其权限内的受试者</w:t>
      </w:r>
      <w:r>
        <w:rPr>
          <w:rFonts w:hint="eastAsia"/>
          <w:sz w:val="24"/>
          <w:szCs w:val="24"/>
          <w:lang w:eastAsia="zh-CN"/>
        </w:rPr>
        <w:t>医疗档案等。</w:t>
      </w:r>
    </w:p>
    <w:p>
      <w:pPr>
        <w:numPr>
          <w:ilvl w:val="0"/>
          <w:numId w:val="4"/>
        </w:numPr>
        <w:spacing w:line="540" w:lineRule="exact"/>
        <w:ind w:left="845" w:leftChars="0" w:hanging="425" w:firstLineChars="0"/>
        <w:rPr>
          <w:sz w:val="24"/>
          <w:szCs w:val="24"/>
          <w:lang w:eastAsia="zh-CN"/>
        </w:rPr>
      </w:pPr>
      <w:r>
        <w:rPr>
          <w:rFonts w:hint="eastAsia" w:ascii="宋体" w:hAnsi="宋体"/>
          <w:sz w:val="24"/>
          <w:szCs w:val="24"/>
          <w:lang w:eastAsia="zh-CN"/>
        </w:rPr>
        <w:t>乙方对丙方派遣的</w:t>
      </w:r>
      <w:r>
        <w:rPr>
          <w:sz w:val="24"/>
          <w:szCs w:val="24"/>
          <w:lang w:eastAsia="zh-CN"/>
        </w:rPr>
        <w:t>CRC</w:t>
      </w:r>
      <w:r>
        <w:rPr>
          <w:rFonts w:hint="eastAsia"/>
          <w:sz w:val="24"/>
          <w:szCs w:val="24"/>
          <w:lang w:eastAsia="zh-CN"/>
        </w:rPr>
        <w:t>进行统一管理，实行CRC准入、培训、考核制度及考核不合格退出机制，乙方有权</w:t>
      </w:r>
      <w:r>
        <w:rPr>
          <w:rFonts w:hint="eastAsia"/>
          <w:sz w:val="24"/>
          <w:szCs w:val="24"/>
          <w:lang w:val="en-US" w:eastAsia="zh-CN"/>
        </w:rPr>
        <w:t>请求甲方</w:t>
      </w:r>
      <w:r>
        <w:rPr>
          <w:rFonts w:hint="eastAsia"/>
          <w:sz w:val="24"/>
          <w:szCs w:val="24"/>
          <w:lang w:eastAsia="zh-CN"/>
        </w:rPr>
        <w:t>清退不符合要求及不更胜任</w:t>
      </w:r>
      <w:r>
        <w:rPr>
          <w:rFonts w:hint="eastAsia"/>
          <w:sz w:val="24"/>
          <w:szCs w:val="24"/>
          <w:lang w:val="en-US" w:eastAsia="zh-CN"/>
        </w:rPr>
        <w:t>CRC服务</w:t>
      </w:r>
      <w:r>
        <w:rPr>
          <w:rFonts w:hint="eastAsia"/>
          <w:sz w:val="24"/>
          <w:szCs w:val="24"/>
          <w:lang w:eastAsia="zh-CN"/>
        </w:rPr>
        <w:t>的CRC。甲方清退前述</w:t>
      </w:r>
      <w:r>
        <w:rPr>
          <w:rFonts w:hint="eastAsia"/>
          <w:sz w:val="24"/>
          <w:szCs w:val="24"/>
          <w:lang w:val="en-US" w:eastAsia="zh-CN"/>
        </w:rPr>
        <w:t>CRC后，丙方应当按照要求重新指派。若丙方未在甲方清退后一个月内重新指派的，乙方有权迟延履行其在临床试验协议中约定的义务。</w:t>
      </w:r>
    </w:p>
    <w:p>
      <w:pPr>
        <w:numPr>
          <w:ilvl w:val="0"/>
          <w:numId w:val="4"/>
        </w:numPr>
        <w:spacing w:line="360" w:lineRule="auto"/>
        <w:ind w:left="845" w:leftChars="0" w:hanging="425" w:firstLineChars="0"/>
        <w:rPr>
          <w:sz w:val="24"/>
          <w:szCs w:val="24"/>
          <w:lang w:eastAsia="zh-CN"/>
        </w:rPr>
      </w:pPr>
      <w:r>
        <w:rPr>
          <w:rFonts w:hint="eastAsia"/>
          <w:sz w:val="24"/>
          <w:szCs w:val="24"/>
          <w:lang w:eastAsia="zh-CN"/>
        </w:rPr>
        <w:t>根据GCP的规定，研究者在安排CRC工作时，必须经乙方药物临床试验机构办公室同意，以便CRC工作合法化。</w:t>
      </w:r>
    </w:p>
    <w:p>
      <w:pPr>
        <w:numPr>
          <w:ilvl w:val="0"/>
          <w:numId w:val="4"/>
        </w:numPr>
        <w:spacing w:line="360" w:lineRule="auto"/>
        <w:ind w:left="845" w:leftChars="0" w:hanging="425" w:firstLineChars="0"/>
        <w:rPr>
          <w:sz w:val="24"/>
          <w:szCs w:val="24"/>
          <w:lang w:eastAsia="zh-CN"/>
        </w:rPr>
      </w:pPr>
      <w:r>
        <w:rPr>
          <w:rFonts w:hint="eastAsia"/>
          <w:sz w:val="24"/>
          <w:szCs w:val="24"/>
          <w:lang w:eastAsia="zh-CN"/>
        </w:rPr>
        <w:t>乙方在本协议期间有权随时监督和检查丙方服务项目的进展。如丙方未能按照本协议的要求如期、合格地完成CRC服务，乙方有责任向丙方提出改善的要求并责令丙方立即完善CRC服务。</w:t>
      </w:r>
    </w:p>
    <w:p>
      <w:pPr>
        <w:spacing w:line="360" w:lineRule="auto"/>
        <w:ind w:left="283" w:leftChars="60" w:hanging="163" w:hangingChars="68"/>
        <w:outlineLvl w:val="1"/>
        <w:rPr>
          <w:rFonts w:hAnsi="宋体" w:cs="宋体"/>
          <w:sz w:val="24"/>
          <w:szCs w:val="24"/>
          <w:lang w:eastAsia="zh-CN"/>
        </w:rPr>
      </w:pPr>
      <w:r>
        <w:rPr>
          <w:rFonts w:hint="eastAsia" w:hAnsi="宋体" w:cs="宋体"/>
          <w:sz w:val="24"/>
          <w:szCs w:val="24"/>
          <w:lang w:eastAsia="zh-CN"/>
        </w:rPr>
        <w:t>（三）丙方职责与义务</w:t>
      </w:r>
    </w:p>
    <w:p>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承诺其已获得一切必要授权以签署本协议，本协议与对其有约束力的其他协议或义务不互相冲突。丙方承诺其具有履行CRC服务所必需的以及相关法律法规所要求的资质。丙方不因履行本协议而获得除收取本协议</w:t>
      </w:r>
      <w:r>
        <w:rPr>
          <w:rFonts w:hint="eastAsia" w:ascii="宋体" w:hAnsi="宋体"/>
          <w:sz w:val="24"/>
          <w:szCs w:val="24"/>
          <w:lang w:val="en-US" w:eastAsia="zh-CN"/>
        </w:rPr>
        <w:t>约定</w:t>
      </w:r>
      <w:r>
        <w:rPr>
          <w:rFonts w:hint="eastAsia" w:ascii="宋体" w:hAnsi="宋体"/>
          <w:sz w:val="24"/>
          <w:szCs w:val="24"/>
          <w:lang w:eastAsia="zh-CN"/>
        </w:rPr>
        <w:t>服务费外的任何与临床研究相关的利益（包括但不限于专利权、发表权等）。</w:t>
      </w:r>
    </w:p>
    <w:p>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丙方向乙方派遣合格的临床协调员（</w:t>
      </w:r>
      <w:r>
        <w:rPr>
          <w:rFonts w:hint="eastAsia"/>
          <w:sz w:val="24"/>
          <w:szCs w:val="24"/>
          <w:lang w:eastAsia="zh-CN"/>
        </w:rPr>
        <w:t>CRC），并为甲方、乙方所接受，按本协议中规定的</w:t>
      </w:r>
      <w:r>
        <w:rPr>
          <w:sz w:val="24"/>
          <w:szCs w:val="24"/>
          <w:lang w:eastAsia="zh-CN"/>
        </w:rPr>
        <w:t>CRC</w:t>
      </w:r>
      <w:r>
        <w:rPr>
          <w:rFonts w:hint="eastAsia"/>
          <w:sz w:val="24"/>
          <w:szCs w:val="24"/>
          <w:lang w:eastAsia="zh-CN"/>
        </w:rPr>
        <w:t>服务内容提供服务，协助研究者</w:t>
      </w:r>
      <w:r>
        <w:rPr>
          <w:rFonts w:hint="eastAsia" w:ascii="宋体" w:hAnsi="宋体"/>
          <w:sz w:val="24"/>
          <w:szCs w:val="24"/>
          <w:lang w:eastAsia="zh-CN"/>
        </w:rPr>
        <w:t>进行本临床试验项目中非医学判断的事务性和规范性工作。丙方派遣的CRC必须遵循本</w:t>
      </w:r>
      <w:r>
        <w:rPr>
          <w:rFonts w:hint="eastAsia" w:ascii="宋体" w:hAnsi="宋体"/>
          <w:sz w:val="24"/>
          <w:szCs w:val="24"/>
          <w:lang w:val="en-US" w:eastAsia="zh-CN"/>
        </w:rPr>
        <w:t>协议</w:t>
      </w:r>
      <w:r>
        <w:rPr>
          <w:rFonts w:hint="eastAsia" w:ascii="宋体" w:hAnsi="宋体"/>
          <w:sz w:val="24"/>
          <w:szCs w:val="24"/>
          <w:lang w:eastAsia="zh-CN"/>
        </w:rPr>
        <w:t>条款、试验方案和所有适用的法律法规，包括但不限于中国现行版GCP、人用药品注册技术要求国际协调会议（ICH）-GCP。</w:t>
      </w:r>
    </w:p>
    <w:p>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w:t>
      </w:r>
      <w:r>
        <w:rPr>
          <w:rFonts w:hint="eastAsia" w:ascii="宋体" w:hAnsi="宋体"/>
          <w:sz w:val="24"/>
          <w:szCs w:val="24"/>
          <w:lang w:val="en-US" w:eastAsia="zh-CN"/>
        </w:rPr>
        <w:t>指派</w:t>
      </w:r>
      <w:r>
        <w:rPr>
          <w:rFonts w:hint="eastAsia"/>
          <w:sz w:val="24"/>
          <w:szCs w:val="24"/>
          <w:lang w:eastAsia="zh-CN"/>
        </w:rPr>
        <w:t>的CRC必</w:t>
      </w:r>
      <w:r>
        <w:rPr>
          <w:rFonts w:hint="eastAsia" w:ascii="宋体" w:hAnsi="宋体"/>
          <w:sz w:val="24"/>
          <w:szCs w:val="24"/>
          <w:lang w:eastAsia="zh-CN"/>
        </w:rPr>
        <w:t>须符合以下的基本条件：具</w:t>
      </w:r>
      <w:r>
        <w:rPr>
          <w:rFonts w:hint="eastAsia"/>
          <w:sz w:val="24"/>
          <w:szCs w:val="24"/>
          <w:lang w:eastAsia="zh-CN"/>
        </w:rPr>
        <w:t>有CRC工作经验；</w:t>
      </w:r>
      <w:r>
        <w:rPr>
          <w:rFonts w:hint="eastAsia" w:ascii="宋体" w:hAnsi="宋体"/>
          <w:sz w:val="24"/>
          <w:szCs w:val="24"/>
          <w:lang w:eastAsia="zh-CN"/>
        </w:rPr>
        <w:t>具备一定的医院工作经验，熟悉医院环境及流程；良好的沟通技巧和团队合作精神；良好的学习能力、抗压能力及责任心。</w:t>
      </w:r>
    </w:p>
    <w:p>
      <w:pPr>
        <w:numPr>
          <w:ilvl w:val="0"/>
          <w:numId w:val="5"/>
        </w:numPr>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丙方向乙方递交SMO营业执照及相关资质复印件、</w:t>
      </w:r>
      <w:r>
        <w:rPr>
          <w:rFonts w:hint="eastAsia" w:ascii="宋体" w:hAnsi="宋体"/>
          <w:sz w:val="24"/>
          <w:szCs w:val="24"/>
          <w:lang w:val="en-US" w:eastAsia="zh-CN"/>
        </w:rPr>
        <w:t>甲方</w:t>
      </w:r>
      <w:r>
        <w:rPr>
          <w:rFonts w:hint="eastAsia" w:ascii="宋体" w:hAnsi="宋体"/>
          <w:sz w:val="24"/>
          <w:szCs w:val="24"/>
          <w:lang w:eastAsia="zh-CN"/>
        </w:rPr>
        <w:t>对SMO的委托函、CRC派遣函，以及CRC劳</w:t>
      </w:r>
      <w:r>
        <w:rPr>
          <w:rFonts w:hint="eastAsia" w:ascii="宋体" w:hAnsi="宋体"/>
          <w:sz w:val="24"/>
          <w:szCs w:val="24"/>
          <w:lang w:val="en-US" w:eastAsia="zh-CN"/>
        </w:rPr>
        <w:t>动</w:t>
      </w:r>
      <w:r>
        <w:rPr>
          <w:rFonts w:hint="eastAsia" w:ascii="宋体" w:hAnsi="宋体"/>
          <w:sz w:val="24"/>
          <w:szCs w:val="24"/>
          <w:lang w:eastAsia="zh-CN"/>
        </w:rPr>
        <w:t>合同、个人简历、GCP培训证书及毕业证/学位证、身份证备案。</w:t>
      </w:r>
    </w:p>
    <w:p>
      <w:pPr>
        <w:numPr>
          <w:ilvl w:val="0"/>
          <w:numId w:val="5"/>
        </w:numPr>
        <w:spacing w:line="360" w:lineRule="auto"/>
        <w:ind w:left="845" w:leftChars="0" w:hanging="425" w:firstLineChars="0"/>
        <w:rPr>
          <w:sz w:val="24"/>
          <w:szCs w:val="24"/>
          <w:lang w:eastAsia="zh-CN"/>
        </w:rPr>
      </w:pPr>
      <w:r>
        <w:rPr>
          <w:rFonts w:hint="eastAsia"/>
          <w:sz w:val="24"/>
          <w:szCs w:val="24"/>
          <w:lang w:eastAsia="zh-CN"/>
        </w:rPr>
        <w:t>丙方所派遣的CRC要服从乙方的国家药物临床试验机构办公室的统一管理。</w:t>
      </w:r>
    </w:p>
    <w:p>
      <w:pPr>
        <w:numPr>
          <w:ilvl w:val="0"/>
          <w:numId w:val="5"/>
        </w:numPr>
        <w:spacing w:line="360" w:lineRule="auto"/>
        <w:ind w:left="845" w:leftChars="0" w:hanging="425" w:firstLineChars="0"/>
        <w:rPr>
          <w:rFonts w:cs="宋体"/>
          <w:sz w:val="24"/>
          <w:szCs w:val="24"/>
          <w:lang w:eastAsia="zh-CN"/>
        </w:rPr>
      </w:pPr>
      <w:r>
        <w:rPr>
          <w:rFonts w:hint="eastAsia" w:cs="宋体"/>
          <w:sz w:val="24"/>
          <w:szCs w:val="24"/>
          <w:lang w:eastAsia="zh-CN"/>
        </w:rPr>
        <w:t>丙方派遣的</w:t>
      </w:r>
      <w:r>
        <w:rPr>
          <w:sz w:val="24"/>
          <w:szCs w:val="24"/>
          <w:lang w:eastAsia="zh-CN"/>
        </w:rPr>
        <w:t>CRC</w:t>
      </w:r>
      <w:r>
        <w:rPr>
          <w:rFonts w:hint="eastAsia" w:cs="宋体"/>
          <w:sz w:val="24"/>
          <w:szCs w:val="24"/>
          <w:lang w:eastAsia="zh-CN"/>
        </w:rPr>
        <w:t>必须</w:t>
      </w:r>
      <w:r>
        <w:rPr>
          <w:rFonts w:hint="eastAsia"/>
          <w:sz w:val="24"/>
          <w:szCs w:val="24"/>
          <w:lang w:eastAsia="zh-CN"/>
        </w:rPr>
        <w:t>遵循乙方适用的规章制度</w:t>
      </w:r>
      <w:r>
        <w:rPr>
          <w:rFonts w:hint="eastAsia" w:cs="宋体"/>
          <w:sz w:val="24"/>
          <w:szCs w:val="24"/>
          <w:lang w:eastAsia="zh-CN"/>
        </w:rPr>
        <w:t>、标准操作规程和其他合理的书面指示。</w:t>
      </w:r>
    </w:p>
    <w:p>
      <w:pPr>
        <w:numPr>
          <w:ilvl w:val="0"/>
          <w:numId w:val="5"/>
        </w:numPr>
        <w:spacing w:line="360" w:lineRule="auto"/>
        <w:ind w:left="845" w:leftChars="0" w:hanging="425" w:firstLineChars="0"/>
        <w:rPr>
          <w:rFonts w:ascii="宋体" w:hAnsi="宋体"/>
          <w:sz w:val="24"/>
          <w:szCs w:val="24"/>
          <w:lang w:eastAsia="zh-CN"/>
        </w:rPr>
      </w:pPr>
      <w:r>
        <w:rPr>
          <w:rFonts w:hint="eastAsia"/>
          <w:sz w:val="24"/>
          <w:szCs w:val="24"/>
          <w:lang w:eastAsia="zh-CN"/>
        </w:rPr>
        <w:t>丙方在提供 CRC服务过程中，如接触到病患健康信息、医疗信息和其他个人信息，必须严格依照乙方的指示，并遵循相关法律法规及本协议中</w:t>
      </w:r>
      <w:r>
        <w:rPr>
          <w:rFonts w:hint="eastAsia"/>
          <w:sz w:val="24"/>
          <w:szCs w:val="24"/>
          <w:lang w:val="en-US" w:eastAsia="zh-CN"/>
        </w:rPr>
        <w:t>关</w:t>
      </w:r>
      <w:r>
        <w:rPr>
          <w:rFonts w:hint="eastAsia"/>
          <w:sz w:val="24"/>
          <w:szCs w:val="24"/>
          <w:lang w:eastAsia="zh-CN"/>
        </w:rPr>
        <w:t>于个人隐私保护的规定以及乙方对于病患隐私保护的相关规定。丙方不得以任何方式披露任何病患健康信息、医疗信息或其他个人信息。</w:t>
      </w:r>
    </w:p>
    <w:p>
      <w:pPr>
        <w:numPr>
          <w:ilvl w:val="0"/>
          <w:numId w:val="5"/>
        </w:numPr>
        <w:spacing w:line="360" w:lineRule="auto"/>
        <w:ind w:left="845" w:leftChars="0" w:hanging="425" w:firstLineChars="0"/>
        <w:rPr>
          <w:rFonts w:cs="宋体"/>
          <w:sz w:val="24"/>
          <w:szCs w:val="24"/>
          <w:lang w:eastAsia="zh-CN"/>
        </w:rPr>
      </w:pPr>
      <w:r>
        <w:rPr>
          <w:rFonts w:hint="eastAsia"/>
          <w:sz w:val="24"/>
          <w:szCs w:val="24"/>
          <w:lang w:eastAsia="zh-CN"/>
        </w:rPr>
        <w:t>丙方派遣的CRC是与丙方已签署长期劳动合同关系的丙方员工，</w:t>
      </w:r>
      <w:r>
        <w:rPr>
          <w:rFonts w:hint="eastAsia"/>
          <w:sz w:val="24"/>
          <w:szCs w:val="24"/>
          <w:lang w:val="en-US" w:eastAsia="zh-CN"/>
        </w:rPr>
        <w:t>其</w:t>
      </w:r>
      <w:r>
        <w:rPr>
          <w:rFonts w:hint="eastAsia"/>
          <w:sz w:val="24"/>
          <w:szCs w:val="24"/>
          <w:lang w:eastAsia="zh-CN"/>
        </w:rPr>
        <w:t>薪资、社保、福利均由丙方负责。丙方作为CRC的用人单位，应当承担用人单位的所有的责任和义务，包括但不限于派遣CRC在乙方处工作期间所发生的意外伤害责任等</w:t>
      </w:r>
      <w:r>
        <w:rPr>
          <w:rFonts w:hint="eastAsia" w:ascii="宋体" w:hAnsi="宋体"/>
          <w:sz w:val="24"/>
          <w:szCs w:val="24"/>
          <w:lang w:eastAsia="zh-CN"/>
        </w:rPr>
        <w:t>。</w:t>
      </w:r>
    </w:p>
    <w:p>
      <w:pPr>
        <w:numPr>
          <w:ilvl w:val="0"/>
          <w:numId w:val="5"/>
        </w:numPr>
        <w:tabs>
          <w:tab w:val="left" w:pos="284"/>
          <w:tab w:val="clear" w:pos="420"/>
        </w:tabs>
        <w:spacing w:line="360" w:lineRule="auto"/>
        <w:ind w:left="845" w:leftChars="0" w:hanging="425" w:firstLineChars="0"/>
        <w:rPr>
          <w:sz w:val="24"/>
          <w:szCs w:val="24"/>
          <w:lang w:eastAsia="zh-CN"/>
        </w:rPr>
      </w:pPr>
      <w:r>
        <w:rPr>
          <w:rFonts w:hint="eastAsia" w:cs="宋体"/>
          <w:sz w:val="24"/>
          <w:szCs w:val="24"/>
          <w:lang w:eastAsia="zh-CN"/>
        </w:rPr>
        <w:t>为了保证工作的顺利进行及工作质量，丙方不能频繁更换</w:t>
      </w:r>
      <w:r>
        <w:rPr>
          <w:rFonts w:cs="宋体"/>
          <w:sz w:val="24"/>
          <w:szCs w:val="24"/>
          <w:lang w:eastAsia="zh-CN"/>
        </w:rPr>
        <w:t>CRC</w:t>
      </w:r>
      <w:r>
        <w:rPr>
          <w:rFonts w:hint="eastAsia" w:cs="宋体"/>
          <w:sz w:val="24"/>
          <w:szCs w:val="24"/>
          <w:lang w:eastAsia="zh-CN"/>
        </w:rPr>
        <w:t>。如丙方需在试验过程中更换</w:t>
      </w:r>
      <w:r>
        <w:rPr>
          <w:sz w:val="24"/>
          <w:szCs w:val="24"/>
          <w:lang w:eastAsia="zh-CN"/>
        </w:rPr>
        <w:t>CRC</w:t>
      </w:r>
      <w:r>
        <w:rPr>
          <w:rFonts w:hint="eastAsia" w:cs="宋体"/>
          <w:sz w:val="24"/>
          <w:szCs w:val="24"/>
          <w:lang w:eastAsia="zh-CN"/>
        </w:rPr>
        <w:t>，应提前一个月通知乙方和项目负责人（</w:t>
      </w:r>
      <w:r>
        <w:rPr>
          <w:rFonts w:cs="宋体"/>
          <w:sz w:val="24"/>
          <w:szCs w:val="24"/>
          <w:lang w:eastAsia="zh-CN"/>
        </w:rPr>
        <w:t>PI</w:t>
      </w:r>
      <w:r>
        <w:rPr>
          <w:rFonts w:hint="eastAsia" w:cs="宋体"/>
          <w:sz w:val="24"/>
          <w:szCs w:val="24"/>
          <w:lang w:eastAsia="zh-CN"/>
        </w:rPr>
        <w:t>），乙方同意后方可进行更换，且更换后的</w:t>
      </w:r>
      <w:r>
        <w:rPr>
          <w:rFonts w:hint="eastAsia" w:cs="宋体"/>
          <w:sz w:val="24"/>
          <w:szCs w:val="24"/>
          <w:lang w:val="en-US" w:eastAsia="zh-CN"/>
        </w:rPr>
        <w:t>CRC需</w:t>
      </w:r>
      <w:r>
        <w:rPr>
          <w:rFonts w:hint="eastAsia" w:cs="宋体"/>
          <w:sz w:val="24"/>
          <w:szCs w:val="24"/>
          <w:lang w:eastAsia="zh-CN"/>
        </w:rPr>
        <w:t>重新接受乙方资质审核、</w:t>
      </w:r>
      <w:r>
        <w:rPr>
          <w:sz w:val="24"/>
          <w:szCs w:val="24"/>
          <w:lang w:eastAsia="zh-CN"/>
        </w:rPr>
        <w:t>PI</w:t>
      </w:r>
      <w:r>
        <w:rPr>
          <w:rFonts w:hint="eastAsia" w:cs="宋体"/>
          <w:sz w:val="24"/>
          <w:szCs w:val="24"/>
          <w:lang w:eastAsia="zh-CN"/>
        </w:rPr>
        <w:t>授权和培训。</w:t>
      </w:r>
    </w:p>
    <w:p>
      <w:pPr>
        <w:numPr>
          <w:ilvl w:val="0"/>
          <w:numId w:val="5"/>
        </w:numPr>
        <w:tabs>
          <w:tab w:val="left" w:pos="426"/>
          <w:tab w:val="clear" w:pos="420"/>
        </w:tabs>
        <w:spacing w:line="360" w:lineRule="auto"/>
        <w:ind w:left="845" w:leftChars="0" w:hanging="425" w:firstLineChars="0"/>
        <w:rPr>
          <w:rFonts w:cs="宋体"/>
          <w:sz w:val="24"/>
          <w:szCs w:val="24"/>
          <w:lang w:eastAsia="zh-CN"/>
        </w:rPr>
      </w:pPr>
      <w:r>
        <w:rPr>
          <w:rFonts w:hint="eastAsia" w:cs="宋体"/>
          <w:sz w:val="24"/>
          <w:szCs w:val="24"/>
          <w:lang w:eastAsia="zh-CN"/>
        </w:rPr>
        <w:t>在本协议履行期限内，如丙方</w:t>
      </w:r>
      <w:r>
        <w:rPr>
          <w:rFonts w:hint="eastAsia" w:cs="宋体"/>
          <w:sz w:val="24"/>
          <w:szCs w:val="24"/>
          <w:lang w:val="en-US" w:eastAsia="zh-CN"/>
        </w:rPr>
        <w:t>指派</w:t>
      </w:r>
      <w:r>
        <w:rPr>
          <w:rFonts w:hint="eastAsia" w:cs="宋体"/>
          <w:sz w:val="24"/>
          <w:szCs w:val="24"/>
          <w:lang w:eastAsia="zh-CN"/>
        </w:rPr>
        <w:t>的服务人员不能胜任CRC服务的，乙方在获得甲方书面同意后，有权要求更换服务人员。丙方有义务在收到乙方通知后的一个月的时间内提供新的合格人选，并安排服务人员在人选确定后【</w:t>
      </w:r>
      <w:ins w:id="0" w:author="作者" w:date="2024-01-17T08:05:42Z">
        <w:r>
          <w:rPr>
            <w:rFonts w:hint="eastAsia" w:cs="宋体"/>
            <w:sz w:val="24"/>
            <w:szCs w:val="24"/>
            <w:lang w:val="en-US" w:eastAsia="zh-CN"/>
          </w:rPr>
          <w:t xml:space="preserve"> </w:t>
        </w:r>
      </w:ins>
      <w:r>
        <w:rPr>
          <w:rFonts w:hint="eastAsia" w:cs="宋体"/>
          <w:sz w:val="24"/>
          <w:szCs w:val="24"/>
          <w:lang w:eastAsia="zh-CN"/>
        </w:rPr>
        <w:t>】天内到岗。</w:t>
      </w:r>
    </w:p>
    <w:p>
      <w:pPr>
        <w:numPr>
          <w:ilvl w:val="0"/>
          <w:numId w:val="5"/>
        </w:numPr>
        <w:tabs>
          <w:tab w:val="left" w:pos="426"/>
          <w:tab w:val="clear" w:pos="420"/>
        </w:tabs>
        <w:spacing w:line="360" w:lineRule="auto"/>
        <w:ind w:left="845" w:leftChars="0" w:hanging="425" w:firstLineChars="0"/>
        <w:rPr>
          <w:rFonts w:cs="宋体"/>
          <w:sz w:val="24"/>
          <w:szCs w:val="24"/>
          <w:lang w:eastAsia="zh-CN"/>
        </w:rPr>
      </w:pPr>
      <w:r>
        <w:rPr>
          <w:rFonts w:hint="eastAsia" w:cs="宋体"/>
          <w:sz w:val="24"/>
          <w:szCs w:val="24"/>
          <w:lang w:eastAsia="zh-CN"/>
        </w:rPr>
        <w:t>因丙方的CRC在乙方处提供服务时的过错对第三方（如受试者）、甲方或乙方造成伤害或损失的，将由丙方承担全部责任。</w:t>
      </w:r>
    </w:p>
    <w:p>
      <w:pPr>
        <w:numPr>
          <w:ilvl w:val="0"/>
          <w:numId w:val="5"/>
        </w:numPr>
        <w:tabs>
          <w:tab w:val="left" w:pos="284"/>
          <w:tab w:val="clear" w:pos="420"/>
        </w:tabs>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CRC未按照GCP要求将临床试验数据真实、准确、完整的录入病历报告表中，若出现不真实填写数据，甚至篡改数据等，引起的后果由丙方承担，且丙方需将其在本协议项下收取的全部服务费用返还给甲方。</w:t>
      </w:r>
    </w:p>
    <w:p>
      <w:pPr>
        <w:numPr>
          <w:ilvl w:val="0"/>
          <w:numId w:val="5"/>
        </w:numPr>
        <w:tabs>
          <w:tab w:val="left" w:pos="284"/>
          <w:tab w:val="clear" w:pos="420"/>
        </w:tabs>
        <w:spacing w:line="360" w:lineRule="auto"/>
        <w:ind w:left="845" w:leftChars="0" w:hanging="425" w:firstLineChars="0"/>
        <w:rPr>
          <w:rFonts w:ascii="宋体" w:hAnsi="宋体"/>
          <w:sz w:val="24"/>
          <w:szCs w:val="24"/>
          <w:lang w:eastAsia="zh-CN"/>
        </w:rPr>
      </w:pPr>
      <w:r>
        <w:rPr>
          <w:rFonts w:hint="eastAsia" w:ascii="宋体" w:hAnsi="宋体"/>
          <w:sz w:val="24"/>
          <w:szCs w:val="24"/>
          <w:lang w:eastAsia="zh-CN"/>
        </w:rPr>
        <w:t>未经甲方和乙方书面同意，丙方不得使用任何分包商、代理商/代理人或者其他第三方以履行本协议项下的义务，也不得将本协议项下的权利或义务转让给任何第三方。否则，甲方或乙方有权要求解除本协议。若因该第三方行为造成甲方及其雇员、乙方及其雇员、受试者等损失的，丙方应当与该第三方就相关损失向前述人员承担连带赔偿责任。</w:t>
      </w:r>
    </w:p>
    <w:p>
      <w:pPr>
        <w:numPr>
          <w:ilvl w:val="0"/>
          <w:numId w:val="6"/>
        </w:numPr>
        <w:tabs>
          <w:tab w:val="left" w:pos="284"/>
        </w:tabs>
        <w:spacing w:line="360" w:lineRule="auto"/>
        <w:ind w:left="482" w:hanging="482" w:hangingChars="200"/>
        <w:outlineLvl w:val="0"/>
        <w:rPr>
          <w:rFonts w:hint="eastAsia" w:cs="楷体_GB2312" w:asciiTheme="minorEastAsia" w:hAnsiTheme="minorEastAsia" w:eastAsiaTheme="minorEastAsia"/>
          <w:b/>
          <w:sz w:val="24"/>
          <w:szCs w:val="24"/>
          <w:lang w:eastAsia="zh-CN"/>
        </w:rPr>
      </w:pPr>
      <w:r>
        <w:rPr>
          <w:rFonts w:hint="eastAsia" w:cs="楷体_GB2312" w:asciiTheme="minorEastAsia" w:hAnsiTheme="minorEastAsia" w:eastAsiaTheme="minorEastAsia"/>
          <w:b/>
          <w:sz w:val="24"/>
          <w:szCs w:val="24"/>
          <w:lang w:eastAsia="zh-CN"/>
        </w:rPr>
        <w:t>数据的所有权</w:t>
      </w:r>
    </w:p>
    <w:p>
      <w:pPr>
        <w:numPr>
          <w:ilvl w:val="0"/>
          <w:numId w:val="0"/>
        </w:numPr>
        <w:tabs>
          <w:tab w:val="left" w:pos="284"/>
        </w:tabs>
        <w:spacing w:line="360" w:lineRule="auto"/>
        <w:ind w:leftChars="-100" w:firstLine="480" w:firstLineChars="200"/>
      </w:pPr>
      <w:r>
        <w:rPr>
          <w:rFonts w:hint="eastAsia" w:cs="楷体_GB2312" w:asciiTheme="minorEastAsia" w:hAnsiTheme="minorEastAsia" w:eastAsiaTheme="minorEastAsia"/>
          <w:b w:val="0"/>
          <w:bCs/>
          <w:sz w:val="24"/>
          <w:szCs w:val="24"/>
          <w:lang w:eastAsia="zh-CN"/>
        </w:rPr>
        <w:t>所有由甲方提供给乙方的数据、文档和信息，或由甲方提供给乙方并由乙方提供给丙方的数据、文档和信息，以及乙方及丙方在临床研究期间获得的所有病例报告表和其他资料（包括但不限于书面的、打印的、图片的、多媒体材料和计算机数据库或计算机可阅读形式中包含的信息），其所有权和知识产权只属于甲方。</w:t>
      </w:r>
    </w:p>
    <w:p>
      <w:pPr>
        <w:numPr>
          <w:ilvl w:val="0"/>
          <w:numId w:val="6"/>
        </w:numPr>
        <w:tabs>
          <w:tab w:val="left" w:pos="284"/>
        </w:tabs>
        <w:spacing w:line="360" w:lineRule="auto"/>
        <w:ind w:left="482" w:leftChars="0" w:hanging="482" w:hangingChars="200"/>
        <w:outlineLvl w:val="0"/>
        <w:rPr>
          <w:rFonts w:cs="宋体"/>
          <w:b/>
          <w:bCs/>
          <w:sz w:val="24"/>
          <w:szCs w:val="24"/>
          <w:highlight w:val="none"/>
          <w:lang w:eastAsia="zh-CN"/>
        </w:rPr>
      </w:pPr>
      <w:r>
        <w:rPr>
          <w:rFonts w:hint="eastAsia" w:cs="宋体"/>
          <w:b/>
          <w:bCs/>
          <w:sz w:val="24"/>
          <w:szCs w:val="24"/>
          <w:highlight w:val="none"/>
          <w:lang w:eastAsia="zh-CN"/>
        </w:rPr>
        <w:t>服务费用</w:t>
      </w:r>
    </w:p>
    <w:p>
      <w:pPr>
        <w:pStyle w:val="51"/>
        <w:keepNext w:val="0"/>
        <w:keepLines w:val="0"/>
        <w:pageBreakBefore w:val="0"/>
        <w:widowControl w:val="0"/>
        <w:numPr>
          <w:ilvl w:val="0"/>
          <w:numId w:val="7"/>
        </w:numPr>
        <w:kinsoku/>
        <w:wordWrap/>
        <w:overflowPunct/>
        <w:topLinePunct w:val="0"/>
        <w:bidi w:val="0"/>
        <w:adjustRightInd w:val="0"/>
        <w:snapToGrid/>
        <w:spacing w:line="360" w:lineRule="auto"/>
        <w:ind w:left="845" w:leftChars="0" w:hanging="425" w:firstLineChars="0"/>
        <w:rPr>
          <w:rFonts w:hint="default" w:ascii="宋体" w:hAnsi="宋体"/>
          <w:b w:val="0"/>
          <w:bCs/>
          <w:sz w:val="24"/>
          <w:szCs w:val="24"/>
          <w:highlight w:val="none"/>
          <w:lang w:val="en-US" w:eastAsia="zh-CN"/>
        </w:rPr>
      </w:pPr>
      <w:r>
        <w:rPr>
          <w:rFonts w:hint="default" w:ascii="宋体" w:hAnsi="宋体"/>
          <w:b w:val="0"/>
          <w:bCs/>
          <w:sz w:val="24"/>
          <w:szCs w:val="24"/>
          <w:highlight w:val="none"/>
          <w:lang w:val="en-US" w:eastAsia="zh-CN"/>
        </w:rPr>
        <w:t>甲方应依据附件一的</w:t>
      </w:r>
      <w:r>
        <w:rPr>
          <w:rFonts w:hint="eastAsia" w:cs="宋体"/>
          <w:sz w:val="24"/>
          <w:szCs w:val="24"/>
          <w:highlight w:val="none"/>
          <w:lang w:eastAsia="zh-CN"/>
        </w:rPr>
        <w:t>CRC</w:t>
      </w:r>
      <w:r>
        <w:rPr>
          <w:rFonts w:hint="default" w:ascii="宋体" w:hAnsi="宋体"/>
          <w:b w:val="0"/>
          <w:bCs/>
          <w:sz w:val="24"/>
          <w:szCs w:val="24"/>
          <w:highlight w:val="none"/>
          <w:lang w:val="en-US" w:eastAsia="zh-CN"/>
        </w:rPr>
        <w:t>工作</w:t>
      </w:r>
      <w:r>
        <w:rPr>
          <w:rFonts w:hint="eastAsia" w:hAnsi="宋体"/>
          <w:b w:val="0"/>
          <w:bCs/>
          <w:sz w:val="24"/>
          <w:szCs w:val="24"/>
          <w:highlight w:val="none"/>
          <w:lang w:val="en-US" w:eastAsia="zh-CN"/>
        </w:rPr>
        <w:t>职责</w:t>
      </w:r>
      <w:r>
        <w:rPr>
          <w:rFonts w:hint="default" w:ascii="宋体" w:hAnsi="宋体"/>
          <w:b w:val="0"/>
          <w:bCs/>
          <w:sz w:val="24"/>
          <w:szCs w:val="24"/>
          <w:highlight w:val="none"/>
          <w:lang w:val="en-US" w:eastAsia="zh-CN"/>
        </w:rPr>
        <w:t>清单，并结合每个项目的工作内容和工作时间，计算项目的服务费用</w:t>
      </w:r>
      <w:r>
        <w:rPr>
          <w:rFonts w:hint="eastAsia" w:hAnsi="宋体"/>
          <w:b w:val="0"/>
          <w:bCs/>
          <w:sz w:val="24"/>
          <w:szCs w:val="24"/>
          <w:highlight w:val="none"/>
          <w:lang w:val="en-US" w:eastAsia="zh-CN"/>
        </w:rPr>
        <w:t>，</w:t>
      </w:r>
      <w:r>
        <w:rPr>
          <w:rFonts w:hint="default" w:ascii="宋体" w:hAnsi="宋体"/>
          <w:b w:val="0"/>
          <w:bCs/>
          <w:sz w:val="24"/>
          <w:szCs w:val="24"/>
          <w:highlight w:val="none"/>
          <w:lang w:val="en-US" w:eastAsia="zh-CN"/>
        </w:rPr>
        <w:t>并及时向丙方支付</w:t>
      </w:r>
      <w:r>
        <w:rPr>
          <w:rFonts w:hint="eastAsia" w:hAnsi="宋体"/>
          <w:b w:val="0"/>
          <w:bCs/>
          <w:sz w:val="24"/>
          <w:szCs w:val="24"/>
          <w:highlight w:val="none"/>
          <w:lang w:val="en-US" w:eastAsia="zh-CN"/>
        </w:rPr>
        <w:t>对应</w:t>
      </w:r>
      <w:r>
        <w:rPr>
          <w:rFonts w:hint="default" w:ascii="宋体" w:hAnsi="宋体"/>
          <w:b w:val="0"/>
          <w:bCs/>
          <w:sz w:val="24"/>
          <w:szCs w:val="24"/>
          <w:highlight w:val="none"/>
          <w:lang w:val="en-US" w:eastAsia="zh-CN"/>
        </w:rPr>
        <w:t>服务费用</w:t>
      </w:r>
      <w:r>
        <w:rPr>
          <w:rFonts w:hint="eastAsia" w:hAnsi="宋体"/>
          <w:b w:val="0"/>
          <w:bCs/>
          <w:sz w:val="24"/>
          <w:szCs w:val="24"/>
          <w:highlight w:val="none"/>
          <w:lang w:val="en-US" w:eastAsia="zh-CN"/>
        </w:rPr>
        <w:t>，具体金额由甲方与丙方另行协商</w:t>
      </w:r>
      <w:r>
        <w:rPr>
          <w:rFonts w:hint="default" w:ascii="宋体" w:hAnsi="宋体"/>
          <w:b w:val="0"/>
          <w:bCs/>
          <w:sz w:val="24"/>
          <w:szCs w:val="24"/>
          <w:highlight w:val="none"/>
          <w:lang w:val="en-US" w:eastAsia="zh-CN"/>
        </w:rPr>
        <w:t>。</w:t>
      </w:r>
    </w:p>
    <w:p>
      <w:pPr>
        <w:pStyle w:val="51"/>
        <w:keepNext w:val="0"/>
        <w:keepLines w:val="0"/>
        <w:pageBreakBefore w:val="0"/>
        <w:widowControl w:val="0"/>
        <w:numPr>
          <w:ilvl w:val="0"/>
          <w:numId w:val="7"/>
        </w:numPr>
        <w:kinsoku/>
        <w:wordWrap/>
        <w:overflowPunct/>
        <w:topLinePunct w:val="0"/>
        <w:bidi w:val="0"/>
        <w:adjustRightInd w:val="0"/>
        <w:snapToGrid/>
        <w:spacing w:line="360" w:lineRule="auto"/>
        <w:ind w:left="845" w:leftChars="0" w:hanging="425" w:firstLineChars="0"/>
        <w:rPr>
          <w:rFonts w:hint="default" w:ascii="宋体" w:hAnsi="宋体"/>
          <w:b w:val="0"/>
          <w:bCs/>
          <w:sz w:val="24"/>
          <w:szCs w:val="24"/>
          <w:highlight w:val="none"/>
          <w:lang w:val="en-US" w:eastAsia="zh-CN"/>
        </w:rPr>
      </w:pPr>
      <w:r>
        <w:rPr>
          <w:rFonts w:hint="eastAsia" w:hAnsi="宋体"/>
          <w:b w:val="0"/>
          <w:bCs/>
          <w:sz w:val="24"/>
          <w:szCs w:val="24"/>
          <w:highlight w:val="none"/>
          <w:lang w:val="en-US" w:eastAsia="zh-CN"/>
        </w:rPr>
        <w:t>丙方应按</w:t>
      </w:r>
      <w:bookmarkStart w:id="0" w:name="_GoBack"/>
      <w:r>
        <w:rPr>
          <w:rFonts w:hint="eastAsia" w:hAnsi="宋体"/>
          <w:b w:val="0"/>
          <w:bCs/>
          <w:sz w:val="24"/>
          <w:szCs w:val="24"/>
          <w:highlight w:val="none"/>
          <w:lang w:val="en-US" w:eastAsia="zh-CN"/>
        </w:rPr>
        <w:t>本项目研究协议中研究者观察费的10%</w:t>
      </w:r>
      <w:bookmarkEnd w:id="0"/>
      <w:r>
        <w:rPr>
          <w:rFonts w:hint="eastAsia" w:hAnsi="宋体"/>
          <w:b w:val="0"/>
          <w:bCs/>
          <w:sz w:val="24"/>
          <w:szCs w:val="24"/>
          <w:highlight w:val="none"/>
          <w:lang w:val="en-US" w:eastAsia="zh-CN"/>
        </w:rPr>
        <w:t>向乙方支付CRC管理费，作为乙方为丙方CRC提供工作场所、工作条件及工作便利，以及对CRC的岗前培训、考核等工作的管理费用，预期总计</w:t>
      </w:r>
      <w:r>
        <w:rPr>
          <w:rFonts w:hint="eastAsia" w:hAnsi="宋体"/>
          <w:b w:val="0"/>
          <w:bCs/>
          <w:sz w:val="24"/>
          <w:szCs w:val="24"/>
          <w:highlight w:val="none"/>
          <w:u w:val="single"/>
          <w:lang w:val="en-US" w:eastAsia="zh-CN"/>
        </w:rPr>
        <w:t xml:space="preserve">     </w:t>
      </w:r>
      <w:r>
        <w:rPr>
          <w:rFonts w:hint="eastAsia" w:hAnsi="宋体"/>
          <w:b w:val="0"/>
          <w:bCs/>
          <w:sz w:val="24"/>
          <w:szCs w:val="24"/>
          <w:highlight w:val="none"/>
          <w:lang w:val="en-US" w:eastAsia="zh-CN"/>
        </w:rPr>
        <w:t>元（大写：人民币</w:t>
      </w:r>
      <w:r>
        <w:rPr>
          <w:rFonts w:hint="eastAsia" w:hAnsi="宋体"/>
          <w:b w:val="0"/>
          <w:bCs/>
          <w:sz w:val="24"/>
          <w:szCs w:val="24"/>
          <w:highlight w:val="none"/>
          <w:u w:val="single"/>
          <w:lang w:val="en-US" w:eastAsia="zh-CN"/>
        </w:rPr>
        <w:t xml:space="preserve">       整</w:t>
      </w:r>
      <w:r>
        <w:rPr>
          <w:rFonts w:hint="eastAsia" w:hAnsi="宋体"/>
          <w:b w:val="0"/>
          <w:bCs/>
          <w:sz w:val="24"/>
          <w:szCs w:val="24"/>
          <w:highlight w:val="none"/>
          <w:lang w:val="en-US" w:eastAsia="zh-CN"/>
        </w:rPr>
        <w:t>），最终以实际完成例数结算。本协议项下甲方应向丙方支付的服务费及丙方应向乙方支付的CRC管理费的支付节点如下：</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395"/>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000000" w:sz="12" w:space="0"/>
              <w:left w:val="nil"/>
              <w:bottom w:val="single" w:color="000000" w:sz="4" w:space="0"/>
              <w:right w:val="nil"/>
              <w:tl2br w:val="nil"/>
            </w:tcBorders>
            <w:shd w:val="clear" w:color="auto" w:fill="FFFFFF"/>
          </w:tcPr>
          <w:p>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付款计划</w:t>
            </w:r>
          </w:p>
        </w:tc>
        <w:tc>
          <w:tcPr>
            <w:tcW w:w="4395" w:type="dxa"/>
            <w:tcBorders>
              <w:top w:val="single" w:color="000000" w:sz="12" w:space="0"/>
              <w:left w:val="nil"/>
              <w:bottom w:val="single" w:color="000000" w:sz="4" w:space="0"/>
              <w:right w:val="nil"/>
            </w:tcBorders>
            <w:shd w:val="clear" w:color="auto" w:fill="FFFFFF"/>
          </w:tcPr>
          <w:p>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付款节点</w:t>
            </w:r>
          </w:p>
        </w:tc>
        <w:tc>
          <w:tcPr>
            <w:tcW w:w="2318" w:type="dxa"/>
            <w:tcBorders>
              <w:top w:val="single" w:color="000000" w:sz="12" w:space="0"/>
              <w:left w:val="nil"/>
              <w:bottom w:val="single" w:color="000000" w:sz="4" w:space="0"/>
              <w:right w:val="nil"/>
            </w:tcBorders>
            <w:shd w:val="clear" w:color="auto" w:fill="FFFFFF"/>
          </w:tcPr>
          <w:p>
            <w:pPr>
              <w:numPr>
                <w:ilvl w:val="0"/>
                <w:numId w:val="0"/>
              </w:numPr>
              <w:spacing w:line="360" w:lineRule="auto"/>
              <w:ind w:left="0" w:leftChars="0"/>
              <w:jc w:val="center"/>
              <w:rPr>
                <w:rFonts w:ascii="宋体" w:hAnsi="宋体" w:cs="宋体"/>
                <w:b w:val="0"/>
                <w:bCs/>
                <w:color w:val="000000"/>
                <w:sz w:val="24"/>
                <w:szCs w:val="24"/>
                <w:highlight w:val="none"/>
              </w:rPr>
            </w:pPr>
            <w:r>
              <w:rPr>
                <w:rFonts w:hint="eastAsia" w:ascii="宋体" w:hAnsi="宋体" w:cs="宋体"/>
                <w:b w:val="0"/>
                <w:bCs/>
                <w:color w:val="000000"/>
                <w:sz w:val="24"/>
                <w:szCs w:val="24"/>
                <w:highlight w:val="none"/>
              </w:rPr>
              <w:t>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single" w:color="000000" w:sz="4" w:space="0"/>
              <w:left w:val="nil"/>
              <w:bottom w:val="nil"/>
              <w:right w:val="nil"/>
            </w:tcBorders>
            <w:shd w:val="clear" w:color="auto" w:fill="FFFFFF"/>
          </w:tcPr>
          <w:p>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rPr>
              <w:t>第一笔</w:t>
            </w:r>
          </w:p>
        </w:tc>
        <w:tc>
          <w:tcPr>
            <w:tcW w:w="4395" w:type="dxa"/>
            <w:tcBorders>
              <w:top w:val="single" w:color="000000" w:sz="4" w:space="0"/>
              <w:left w:val="nil"/>
              <w:bottom w:val="nil"/>
              <w:right w:val="nil"/>
            </w:tcBorders>
            <w:shd w:val="clear" w:color="auto" w:fill="FFFFFF"/>
          </w:tcPr>
          <w:p>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lang w:eastAsia="zh-CN"/>
              </w:rPr>
              <w:t>本</w:t>
            </w:r>
            <w:r>
              <w:rPr>
                <w:rFonts w:hint="eastAsia" w:ascii="宋体" w:hAnsi="宋体" w:cs="宋体"/>
                <w:b w:val="0"/>
                <w:color w:val="000000"/>
                <w:sz w:val="24"/>
                <w:szCs w:val="24"/>
                <w:highlight w:val="none"/>
                <w:lang w:val="en-US" w:eastAsia="zh-CN"/>
              </w:rPr>
              <w:t>协议</w:t>
            </w:r>
            <w:r>
              <w:rPr>
                <w:rFonts w:hint="eastAsia" w:ascii="宋体" w:hAnsi="宋体" w:cs="宋体"/>
                <w:b w:val="0"/>
                <w:color w:val="000000"/>
                <w:sz w:val="24"/>
                <w:szCs w:val="24"/>
                <w:highlight w:val="none"/>
              </w:rPr>
              <w:t>签署后</w:t>
            </w:r>
            <w:r>
              <w:rPr>
                <w:rFonts w:hint="eastAsia" w:ascii="宋体" w:hAnsi="宋体" w:cs="宋体"/>
                <w:b w:val="0"/>
                <w:color w:val="000000"/>
                <w:sz w:val="24"/>
                <w:szCs w:val="24"/>
                <w:highlight w:val="none"/>
                <w:lang w:val="en-US" w:eastAsia="zh-CN"/>
              </w:rPr>
              <w:t>5～10</w:t>
            </w:r>
            <w:r>
              <w:rPr>
                <w:rFonts w:hint="eastAsia" w:ascii="宋体" w:hAnsi="宋体" w:cs="宋体"/>
                <w:b w:val="0"/>
                <w:color w:val="000000"/>
                <w:sz w:val="24"/>
                <w:szCs w:val="24"/>
                <w:highlight w:val="none"/>
              </w:rPr>
              <w:t>个工作日内</w:t>
            </w:r>
          </w:p>
        </w:tc>
        <w:tc>
          <w:tcPr>
            <w:tcW w:w="2318" w:type="dxa"/>
            <w:tcBorders>
              <w:top w:val="single" w:color="000000" w:sz="4" w:space="0"/>
              <w:left w:val="nil"/>
              <w:bottom w:val="nil"/>
              <w:right w:val="nil"/>
            </w:tcBorders>
            <w:shd w:val="clear" w:color="auto" w:fill="FFFFFF"/>
          </w:tcPr>
          <w:p>
            <w:pPr>
              <w:numPr>
                <w:ilvl w:val="0"/>
                <w:numId w:val="0"/>
              </w:numPr>
              <w:spacing w:line="360" w:lineRule="auto"/>
              <w:ind w:left="0" w:leftChars="0"/>
              <w:jc w:val="center"/>
              <w:rPr>
                <w:rFonts w:ascii="宋体" w:hAnsi="宋体" w:cs="宋体"/>
                <w:b w:val="0"/>
                <w:color w:val="000000"/>
                <w:sz w:val="24"/>
                <w:szCs w:val="24"/>
                <w:highlight w:val="none"/>
              </w:rPr>
            </w:pPr>
            <w:r>
              <w:rPr>
                <w:rFonts w:hint="eastAsia" w:ascii="宋体" w:hAnsi="宋体" w:cs="宋体"/>
                <w:b w:val="0"/>
                <w:color w:val="000000"/>
                <w:sz w:val="24"/>
                <w:szCs w:val="24"/>
                <w:highlight w:val="none"/>
                <w:lang w:val="en-US" w:eastAsia="zh-CN"/>
              </w:rPr>
              <w:t>3</w:t>
            </w:r>
            <w:r>
              <w:rPr>
                <w:rFonts w:hint="eastAsia" w:ascii="宋体" w:hAnsi="宋体" w:cs="宋体"/>
                <w:b w:val="0"/>
                <w:color w:val="000000"/>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nil"/>
              <w:left w:val="nil"/>
              <w:bottom w:val="nil"/>
              <w:right w:val="nil"/>
            </w:tcBorders>
            <w:shd w:val="clear" w:color="auto" w:fill="FFFFFF"/>
          </w:tcPr>
          <w:p>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rPr>
              <w:t>第二笔</w:t>
            </w:r>
          </w:p>
        </w:tc>
        <w:tc>
          <w:tcPr>
            <w:tcW w:w="4395" w:type="dxa"/>
            <w:tcBorders>
              <w:top w:val="nil"/>
              <w:left w:val="nil"/>
              <w:bottom w:val="nil"/>
              <w:right w:val="nil"/>
            </w:tcBorders>
            <w:shd w:val="clear" w:color="auto" w:fill="FFFFFF"/>
          </w:tcPr>
          <w:p>
            <w:pPr>
              <w:numPr>
                <w:ilvl w:val="0"/>
                <w:numId w:val="0"/>
              </w:numPr>
              <w:spacing w:line="360" w:lineRule="auto"/>
              <w:ind w:left="0" w:leftChars="0"/>
              <w:jc w:val="left"/>
              <w:rPr>
                <w:rFonts w:ascii="宋体" w:hAnsi="宋体" w:cs="宋体"/>
                <w:b w:val="0"/>
                <w:color w:val="000000"/>
                <w:sz w:val="24"/>
                <w:szCs w:val="24"/>
                <w:highlight w:val="none"/>
              </w:rPr>
            </w:pPr>
            <w:r>
              <w:rPr>
                <w:rFonts w:hint="eastAsia" w:ascii="宋体" w:hAnsi="宋体" w:cs="宋体"/>
                <w:b w:val="0"/>
                <w:color w:val="000000"/>
                <w:sz w:val="24"/>
                <w:szCs w:val="24"/>
                <w:highlight w:val="none"/>
                <w:lang w:eastAsia="zh-CN"/>
              </w:rPr>
              <w:t>入组例数达到</w:t>
            </w:r>
            <w:r>
              <w:rPr>
                <w:rFonts w:hint="eastAsia" w:ascii="宋体" w:hAnsi="宋体" w:cs="宋体"/>
                <w:b w:val="0"/>
                <w:color w:val="000000"/>
                <w:sz w:val="24"/>
                <w:szCs w:val="24"/>
                <w:highlight w:val="none"/>
                <w:lang w:val="en-US" w:eastAsia="zh-CN"/>
              </w:rPr>
              <w:t>协议</w:t>
            </w:r>
            <w:r>
              <w:rPr>
                <w:rFonts w:hint="eastAsia" w:ascii="宋体" w:hAnsi="宋体" w:cs="宋体"/>
                <w:b w:val="0"/>
                <w:color w:val="000000"/>
                <w:sz w:val="24"/>
                <w:szCs w:val="24"/>
                <w:highlight w:val="none"/>
                <w:lang w:eastAsia="zh-CN"/>
              </w:rPr>
              <w:t>约定例数的</w:t>
            </w:r>
            <w:r>
              <w:rPr>
                <w:rFonts w:hint="eastAsia" w:ascii="宋体" w:hAnsi="宋体" w:cs="宋体"/>
                <w:b w:val="0"/>
                <w:color w:val="000000"/>
                <w:sz w:val="24"/>
                <w:szCs w:val="24"/>
                <w:highlight w:val="none"/>
                <w:lang w:val="en-US" w:eastAsia="zh-CN"/>
              </w:rPr>
              <w:t>50%后5～</w:t>
            </w:r>
            <w:r>
              <w:rPr>
                <w:rFonts w:hint="eastAsia" w:ascii="宋体" w:hAnsi="宋体" w:cs="宋体"/>
                <w:b w:val="0"/>
                <w:color w:val="000000"/>
                <w:sz w:val="24"/>
                <w:szCs w:val="24"/>
                <w:highlight w:val="none"/>
              </w:rPr>
              <w:t>1</w:t>
            </w:r>
            <w:r>
              <w:rPr>
                <w:rFonts w:hint="eastAsia" w:ascii="宋体" w:hAnsi="宋体" w:cs="宋体"/>
                <w:b w:val="0"/>
                <w:color w:val="000000"/>
                <w:sz w:val="24"/>
                <w:szCs w:val="24"/>
                <w:highlight w:val="none"/>
                <w:lang w:val="en-US" w:eastAsia="zh-CN"/>
              </w:rPr>
              <w:t>0</w:t>
            </w:r>
            <w:r>
              <w:rPr>
                <w:rFonts w:hint="eastAsia" w:ascii="宋体" w:hAnsi="宋体" w:cs="宋体"/>
                <w:b w:val="0"/>
                <w:color w:val="000000"/>
                <w:sz w:val="24"/>
                <w:szCs w:val="24"/>
                <w:highlight w:val="none"/>
              </w:rPr>
              <w:t>个工作日内</w:t>
            </w:r>
          </w:p>
        </w:tc>
        <w:tc>
          <w:tcPr>
            <w:tcW w:w="2318" w:type="dxa"/>
            <w:tcBorders>
              <w:top w:val="nil"/>
              <w:left w:val="nil"/>
              <w:bottom w:val="nil"/>
              <w:right w:val="nil"/>
            </w:tcBorders>
            <w:shd w:val="clear" w:color="auto" w:fill="FFFFFF"/>
          </w:tcPr>
          <w:p>
            <w:pPr>
              <w:numPr>
                <w:ilvl w:val="0"/>
                <w:numId w:val="0"/>
              </w:numPr>
              <w:spacing w:line="360" w:lineRule="auto"/>
              <w:ind w:left="0" w:leftChars="0"/>
              <w:jc w:val="center"/>
              <w:rPr>
                <w:rFonts w:ascii="宋体" w:hAnsi="宋体" w:cs="宋体"/>
                <w:b w:val="0"/>
                <w:color w:val="000000"/>
                <w:sz w:val="24"/>
                <w:szCs w:val="24"/>
                <w:highlight w:val="none"/>
              </w:rPr>
            </w:pPr>
            <w:r>
              <w:rPr>
                <w:rFonts w:hint="eastAsia" w:ascii="宋体" w:hAnsi="宋体" w:cs="宋体"/>
                <w:b w:val="0"/>
                <w:color w:val="000000"/>
                <w:sz w:val="24"/>
                <w:szCs w:val="24"/>
                <w:highlight w:val="none"/>
                <w:lang w:val="en-US" w:eastAsia="zh-CN"/>
              </w:rPr>
              <w:t>40</w:t>
            </w:r>
            <w:r>
              <w:rPr>
                <w:rFonts w:hint="eastAsia" w:ascii="宋体" w:hAnsi="宋体" w:cs="宋体"/>
                <w:b w:val="0"/>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Borders>
              <w:top w:val="nil"/>
              <w:left w:val="nil"/>
              <w:bottom w:val="single" w:color="000000" w:sz="12" w:space="0"/>
              <w:right w:val="nil"/>
            </w:tcBorders>
            <w:shd w:val="clear" w:color="auto" w:fill="FFFFFF"/>
          </w:tcPr>
          <w:p>
            <w:pPr>
              <w:numPr>
                <w:ilvl w:val="0"/>
                <w:numId w:val="0"/>
              </w:numPr>
              <w:spacing w:line="360" w:lineRule="auto"/>
              <w:ind w:left="0" w:leftChars="0"/>
              <w:jc w:val="left"/>
              <w:rPr>
                <w:rFonts w:hint="eastAsia" w:ascii="宋体" w:hAnsi="宋体" w:eastAsia="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第三笔</w:t>
            </w:r>
          </w:p>
        </w:tc>
        <w:tc>
          <w:tcPr>
            <w:tcW w:w="4395" w:type="dxa"/>
            <w:tcBorders>
              <w:top w:val="nil"/>
              <w:left w:val="nil"/>
              <w:bottom w:val="single" w:color="000000" w:sz="12" w:space="0"/>
              <w:right w:val="nil"/>
            </w:tcBorders>
            <w:shd w:val="clear" w:color="auto" w:fill="FFFFFF"/>
          </w:tcPr>
          <w:p>
            <w:pPr>
              <w:numPr>
                <w:ilvl w:val="0"/>
                <w:numId w:val="0"/>
              </w:numPr>
              <w:spacing w:line="360" w:lineRule="auto"/>
              <w:ind w:left="0" w:leftChars="0"/>
              <w:jc w:val="left"/>
              <w:rPr>
                <w:rFonts w:hint="default" w:ascii="宋体" w:hAnsi="宋体" w:eastAsia="宋体" w:cs="宋体"/>
                <w:b w:val="0"/>
                <w:color w:val="000000"/>
                <w:sz w:val="24"/>
                <w:szCs w:val="24"/>
                <w:highlight w:val="none"/>
                <w:lang w:val="en-US" w:eastAsia="zh-CN"/>
              </w:rPr>
            </w:pPr>
            <w:r>
              <w:rPr>
                <w:rFonts w:hint="eastAsia" w:ascii="宋体" w:hAnsi="宋体" w:cs="宋体"/>
                <w:b w:val="0"/>
                <w:color w:val="000000"/>
                <w:sz w:val="24"/>
                <w:szCs w:val="24"/>
                <w:highlight w:val="none"/>
                <w:lang w:eastAsia="zh-CN"/>
              </w:rPr>
              <w:t>关闭中心后</w:t>
            </w:r>
            <w:r>
              <w:rPr>
                <w:rFonts w:hint="eastAsia" w:ascii="宋体" w:hAnsi="宋体" w:cs="宋体"/>
                <w:b w:val="0"/>
                <w:color w:val="000000"/>
                <w:sz w:val="24"/>
                <w:szCs w:val="24"/>
                <w:highlight w:val="none"/>
                <w:lang w:val="en-US" w:eastAsia="zh-CN"/>
              </w:rPr>
              <w:t>5～10个工作日内</w:t>
            </w:r>
          </w:p>
        </w:tc>
        <w:tc>
          <w:tcPr>
            <w:tcW w:w="2318" w:type="dxa"/>
            <w:tcBorders>
              <w:top w:val="nil"/>
              <w:left w:val="nil"/>
              <w:bottom w:val="single" w:color="000000" w:sz="12" w:space="0"/>
              <w:right w:val="nil"/>
            </w:tcBorders>
            <w:shd w:val="clear" w:color="auto" w:fill="FFFFFF"/>
          </w:tcPr>
          <w:p>
            <w:pPr>
              <w:numPr>
                <w:ilvl w:val="0"/>
                <w:numId w:val="0"/>
              </w:numPr>
              <w:spacing w:line="360" w:lineRule="auto"/>
              <w:ind w:left="0" w:leftChars="0"/>
              <w:jc w:val="center"/>
              <w:rPr>
                <w:rFonts w:hint="eastAsia" w:ascii="宋体" w:hAnsi="宋体" w:eastAsia="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尾款</w:t>
            </w:r>
          </w:p>
        </w:tc>
      </w:tr>
    </w:tbl>
    <w:p>
      <w:pPr>
        <w:pStyle w:val="52"/>
        <w:numPr>
          <w:ilvl w:val="0"/>
          <w:numId w:val="8"/>
        </w:numPr>
        <w:spacing w:line="360" w:lineRule="auto"/>
        <w:ind w:left="0" w:leftChars="0"/>
        <w:rPr>
          <w:rFonts w:ascii="宋体" w:hAnsi="宋体" w:eastAsia="宋体"/>
          <w:sz w:val="24"/>
          <w:szCs w:val="24"/>
          <w:highlight w:val="none"/>
        </w:rPr>
      </w:pPr>
      <w:r>
        <w:rPr>
          <w:rFonts w:hint="eastAsia" w:ascii="宋体" w:hAnsi="宋体"/>
          <w:sz w:val="24"/>
          <w:szCs w:val="24"/>
          <w:highlight w:val="none"/>
          <w:lang w:eastAsia="zh-CN"/>
        </w:rPr>
        <w:t>乙方及丙方收款信息如下</w:t>
      </w:r>
      <w:r>
        <w:rPr>
          <w:rFonts w:hint="eastAsia" w:ascii="宋体" w:hAnsi="宋体" w:eastAsia="宋体"/>
          <w:sz w:val="24"/>
          <w:szCs w:val="24"/>
          <w:highlight w:val="none"/>
        </w:rPr>
        <w:t>：</w:t>
      </w:r>
    </w:p>
    <w:p>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）乙方：</w:t>
      </w:r>
    </w:p>
    <w:p>
      <w:pPr>
        <w:spacing w:line="360" w:lineRule="auto"/>
        <w:ind w:left="602" w:leftChars="301"/>
        <w:rPr>
          <w:rFonts w:ascii="宋体" w:hAnsi="宋体" w:eastAsia="宋体"/>
          <w:sz w:val="24"/>
          <w:szCs w:val="24"/>
          <w:highlight w:val="none"/>
        </w:rPr>
      </w:pPr>
      <w:r>
        <w:rPr>
          <w:rFonts w:hint="eastAsia" w:ascii="宋体" w:hAnsi="宋体" w:eastAsia="宋体"/>
          <w:sz w:val="24"/>
          <w:szCs w:val="24"/>
          <w:highlight w:val="none"/>
        </w:rPr>
        <w:t>户  名：深圳市第三人民医院</w:t>
      </w:r>
    </w:p>
    <w:p>
      <w:pPr>
        <w:spacing w:line="360" w:lineRule="auto"/>
        <w:ind w:left="602" w:leftChars="301"/>
        <w:rPr>
          <w:rFonts w:ascii="宋体" w:hAnsi="宋体" w:eastAsia="宋体"/>
          <w:sz w:val="24"/>
          <w:szCs w:val="24"/>
          <w:highlight w:val="none"/>
        </w:rPr>
      </w:pPr>
      <w:r>
        <w:rPr>
          <w:rFonts w:hint="eastAsia" w:ascii="宋体" w:hAnsi="宋体" w:eastAsia="宋体"/>
          <w:sz w:val="24"/>
          <w:szCs w:val="24"/>
          <w:highlight w:val="none"/>
        </w:rPr>
        <w:t xml:space="preserve">账  号: </w:t>
      </w:r>
      <w:r>
        <w:rPr>
          <w:rFonts w:ascii="宋体" w:hAnsi="宋体" w:eastAsia="宋体"/>
          <w:sz w:val="24"/>
          <w:szCs w:val="24"/>
          <w:highlight w:val="none"/>
        </w:rPr>
        <w:t>4000031919200187023</w:t>
      </w:r>
    </w:p>
    <w:p>
      <w:pPr>
        <w:spacing w:line="360" w:lineRule="auto"/>
        <w:ind w:left="602" w:leftChars="301"/>
        <w:rPr>
          <w:rFonts w:ascii="宋体" w:hAnsi="宋体" w:eastAsia="宋体"/>
          <w:sz w:val="24"/>
          <w:szCs w:val="24"/>
          <w:highlight w:val="none"/>
        </w:rPr>
      </w:pPr>
      <w:r>
        <w:rPr>
          <w:rFonts w:hint="eastAsia" w:ascii="宋体" w:hAnsi="宋体" w:eastAsia="宋体"/>
          <w:sz w:val="24"/>
          <w:szCs w:val="24"/>
          <w:highlight w:val="none"/>
        </w:rPr>
        <w:t>开户行：中国工商银行深圳市分行李朗支行</w:t>
      </w:r>
    </w:p>
    <w:p>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）丙方：</w:t>
      </w:r>
    </w:p>
    <w:p>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户</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名：</w:t>
      </w:r>
    </w:p>
    <w:p>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账</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号：</w:t>
      </w:r>
    </w:p>
    <w:p>
      <w:pPr>
        <w:spacing w:line="360" w:lineRule="auto"/>
        <w:ind w:left="602" w:leftChars="301"/>
        <w:rPr>
          <w:rFonts w:hint="eastAsia" w:ascii="宋体" w:hAnsi="宋体"/>
          <w:sz w:val="24"/>
          <w:szCs w:val="24"/>
          <w:highlight w:val="none"/>
          <w:lang w:eastAsia="zh-CN"/>
        </w:rPr>
      </w:pPr>
      <w:r>
        <w:rPr>
          <w:rFonts w:hint="eastAsia" w:ascii="宋体" w:hAnsi="宋体"/>
          <w:sz w:val="24"/>
          <w:szCs w:val="24"/>
          <w:highlight w:val="none"/>
          <w:lang w:eastAsia="zh-CN"/>
        </w:rPr>
        <w:t>开户行：</w:t>
      </w:r>
    </w:p>
    <w:p>
      <w:pPr>
        <w:spacing w:line="360" w:lineRule="auto"/>
        <w:ind w:left="602" w:leftChars="301"/>
        <w:rPr>
          <w:rFonts w:hint="default" w:ascii="宋体" w:hAnsi="宋体"/>
          <w:b w:val="0"/>
          <w:bCs/>
          <w:sz w:val="24"/>
          <w:szCs w:val="24"/>
          <w:highlight w:val="none"/>
          <w:lang w:val="en-US" w:eastAsia="zh-CN"/>
        </w:rPr>
      </w:pPr>
      <w:r>
        <w:rPr>
          <w:rFonts w:hint="eastAsia" w:ascii="宋体" w:hAnsi="宋体"/>
          <w:sz w:val="24"/>
          <w:szCs w:val="24"/>
          <w:highlight w:val="none"/>
          <w:lang w:eastAsia="zh-CN"/>
        </w:rPr>
        <w:t>乙</w:t>
      </w:r>
      <w:r>
        <w:rPr>
          <w:rFonts w:hint="eastAsia" w:ascii="宋体" w:hAnsi="宋体" w:eastAsia="宋体"/>
          <w:sz w:val="24"/>
          <w:szCs w:val="24"/>
          <w:highlight w:val="none"/>
        </w:rPr>
        <w:t>方应在收到</w:t>
      </w:r>
      <w:r>
        <w:rPr>
          <w:rFonts w:hint="eastAsia" w:ascii="宋体" w:hAnsi="宋体"/>
          <w:sz w:val="24"/>
          <w:szCs w:val="24"/>
          <w:highlight w:val="none"/>
          <w:lang w:eastAsia="zh-CN"/>
        </w:rPr>
        <w:t>乙方支付的</w:t>
      </w:r>
      <w:r>
        <w:rPr>
          <w:rFonts w:hint="eastAsia" w:ascii="宋体" w:hAnsi="宋体" w:eastAsia="宋体"/>
          <w:sz w:val="24"/>
          <w:szCs w:val="24"/>
          <w:highlight w:val="none"/>
        </w:rPr>
        <w:t>每笔</w:t>
      </w:r>
      <w:r>
        <w:rPr>
          <w:rFonts w:hint="eastAsia" w:ascii="宋体" w:hAnsi="宋体"/>
          <w:sz w:val="24"/>
          <w:szCs w:val="24"/>
          <w:highlight w:val="none"/>
          <w:lang w:eastAsia="zh-CN"/>
        </w:rPr>
        <w:t>到</w:t>
      </w:r>
      <w:r>
        <w:rPr>
          <w:rFonts w:hint="eastAsia" w:ascii="宋体" w:hAnsi="宋体" w:eastAsia="宋体"/>
          <w:sz w:val="24"/>
          <w:szCs w:val="24"/>
          <w:highlight w:val="none"/>
        </w:rPr>
        <w:t>账款后的10个工作日内，</w:t>
      </w:r>
      <w:r>
        <w:rPr>
          <w:rFonts w:hint="eastAsia" w:ascii="宋体" w:hAnsi="宋体"/>
          <w:sz w:val="24"/>
          <w:szCs w:val="24"/>
          <w:highlight w:val="none"/>
          <w:lang w:val="en-US" w:eastAsia="zh-CN"/>
        </w:rPr>
        <w:t>向丙方</w:t>
      </w:r>
      <w:r>
        <w:rPr>
          <w:rFonts w:hint="eastAsia" w:ascii="宋体" w:hAnsi="宋体" w:eastAsia="宋体"/>
          <w:sz w:val="24"/>
          <w:szCs w:val="24"/>
          <w:highlight w:val="none"/>
        </w:rPr>
        <w:t>开具</w:t>
      </w:r>
      <w:r>
        <w:rPr>
          <w:rFonts w:hint="eastAsia" w:ascii="宋体" w:hAnsi="宋体"/>
          <w:sz w:val="24"/>
          <w:szCs w:val="24"/>
          <w:highlight w:val="none"/>
          <w:lang w:val="en-US" w:eastAsia="zh-CN"/>
        </w:rPr>
        <w:t>同等额</w:t>
      </w:r>
      <w:r>
        <w:rPr>
          <w:rFonts w:hint="eastAsia" w:ascii="宋体" w:hAnsi="宋体"/>
          <w:sz w:val="24"/>
          <w:szCs w:val="24"/>
          <w:highlight w:val="none"/>
          <w:lang w:eastAsia="zh-CN"/>
        </w:rPr>
        <w:t>增值税普通</w:t>
      </w:r>
      <w:r>
        <w:rPr>
          <w:rFonts w:hint="eastAsia" w:ascii="宋体" w:hAnsi="宋体" w:eastAsia="宋体"/>
          <w:sz w:val="24"/>
          <w:szCs w:val="24"/>
          <w:highlight w:val="none"/>
        </w:rPr>
        <w:t>发票</w:t>
      </w:r>
      <w:r>
        <w:rPr>
          <w:rFonts w:hint="eastAsia" w:ascii="宋体" w:hAnsi="宋体"/>
          <w:sz w:val="24"/>
          <w:szCs w:val="24"/>
          <w:highlight w:val="none"/>
          <w:lang w:eastAsia="zh-CN"/>
        </w:rPr>
        <w:t>；丙方亦应当在收到甲方支付的每笔款项后</w:t>
      </w:r>
      <w:r>
        <w:rPr>
          <w:rFonts w:hint="eastAsia" w:ascii="宋体" w:hAnsi="宋体"/>
          <w:sz w:val="24"/>
          <w:szCs w:val="24"/>
          <w:highlight w:val="none"/>
          <w:lang w:val="en-US" w:eastAsia="zh-CN"/>
        </w:rPr>
        <w:t>10个工作日内向甲方开具同等金额的增值税□普通□专用发票</w:t>
      </w:r>
      <w:r>
        <w:rPr>
          <w:rFonts w:hint="eastAsia" w:ascii="宋体" w:hAnsi="宋体" w:eastAsia="宋体"/>
          <w:sz w:val="24"/>
          <w:szCs w:val="24"/>
          <w:highlight w:val="none"/>
        </w:rPr>
        <w:t>。</w:t>
      </w:r>
    </w:p>
    <w:p>
      <w:pPr>
        <w:keepNext w:val="0"/>
        <w:keepLines w:val="0"/>
        <w:pageBreakBefore w:val="0"/>
        <w:widowControl w:val="0"/>
        <w:numPr>
          <w:ilvl w:val="0"/>
          <w:numId w:val="6"/>
        </w:numPr>
        <w:kinsoku/>
        <w:wordWrap/>
        <w:overflowPunct/>
        <w:topLinePunct w:val="0"/>
        <w:bidi w:val="0"/>
        <w:adjustRightInd w:val="0"/>
        <w:snapToGrid/>
        <w:spacing w:line="360" w:lineRule="auto"/>
        <w:ind w:left="482" w:leftChars="0" w:hanging="482" w:hangingChars="200"/>
        <w:outlineLvl w:val="0"/>
        <w:rPr>
          <w:rFonts w:ascii="宋体" w:hAnsi="宋体"/>
          <w:b/>
          <w:sz w:val="24"/>
          <w:szCs w:val="24"/>
          <w:lang w:eastAsia="zh-CN"/>
        </w:rPr>
      </w:pPr>
      <w:r>
        <w:rPr>
          <w:rFonts w:hint="eastAsia" w:ascii="宋体" w:hAnsi="宋体"/>
          <w:b/>
          <w:sz w:val="24"/>
          <w:szCs w:val="24"/>
          <w:lang w:eastAsia="zh-CN"/>
        </w:rPr>
        <w:t>保密义务</w:t>
      </w:r>
    </w:p>
    <w:p>
      <w:pPr>
        <w:pStyle w:val="53"/>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845" w:leftChars="0" w:hanging="425" w:firstLineChars="0"/>
        <w:jc w:val="left"/>
        <w:rPr>
          <w:rFonts w:hint="eastAsia" w:hAnsi="宋体" w:eastAsia="宋体"/>
          <w:sz w:val="24"/>
          <w:lang w:eastAsia="zh-CN"/>
        </w:rPr>
      </w:pPr>
      <w:r>
        <w:rPr>
          <w:rFonts w:hint="eastAsia" w:hAnsi="宋体"/>
          <w:sz w:val="24"/>
        </w:rPr>
        <w:t>在临床试验的过程中，甲、乙、丙各方对接触到的对方的保密信息和在本协议履行过程中产生的试验结果应当予以保密，只能允许参与临床试验的相关人员为本</w:t>
      </w:r>
      <w:r>
        <w:rPr>
          <w:rFonts w:hint="eastAsia" w:hAnsi="宋体"/>
          <w:sz w:val="24"/>
          <w:lang w:val="en-US" w:eastAsia="zh-CN"/>
        </w:rPr>
        <w:t>协议</w:t>
      </w:r>
      <w:r>
        <w:rPr>
          <w:rFonts w:hint="eastAsia" w:hAnsi="宋体"/>
          <w:sz w:val="24"/>
        </w:rPr>
        <w:t>之目的使用；未经数据或信息所有方允许不得直接或间接以任何方式提供或披露给任何无关的第三方，但披露之前已经公开的数据或信息，或披露方可以证明其数据或信息在本协议执行之前就被掌握的除外</w:t>
      </w:r>
      <w:r>
        <w:rPr>
          <w:rFonts w:hint="eastAsia" w:hAnsi="宋体"/>
          <w:sz w:val="24"/>
          <w:lang w:eastAsia="zh-CN"/>
        </w:rPr>
        <w:t>。</w:t>
      </w:r>
    </w:p>
    <w:p>
      <w:pPr>
        <w:pStyle w:val="53"/>
        <w:numPr>
          <w:ilvl w:val="0"/>
          <w:numId w:val="9"/>
        </w:numPr>
        <w:autoSpaceDE w:val="0"/>
        <w:autoSpaceDN w:val="0"/>
        <w:adjustRightInd w:val="0"/>
        <w:spacing w:line="360" w:lineRule="auto"/>
        <w:ind w:left="845" w:leftChars="0" w:hanging="425" w:firstLineChars="0"/>
        <w:jc w:val="left"/>
        <w:rPr>
          <w:rFonts w:hint="eastAsia" w:hAnsi="宋体" w:eastAsia="宋体"/>
          <w:sz w:val="24"/>
          <w:lang w:eastAsia="zh-CN"/>
        </w:rPr>
      </w:pPr>
      <w:r>
        <w:rPr>
          <w:rFonts w:hint="eastAsia" w:hAnsi="宋体"/>
          <w:sz w:val="24"/>
        </w:rPr>
        <w:t>甲、乙、丙各方应对在临床试验过程中接触到的受试者信息进行保密</w:t>
      </w:r>
      <w:r>
        <w:rPr>
          <w:rFonts w:hint="eastAsia" w:hAnsi="宋体"/>
          <w:sz w:val="24"/>
          <w:lang w:eastAsia="zh-CN"/>
        </w:rPr>
        <w:t>。</w:t>
      </w:r>
    </w:p>
    <w:p>
      <w:pPr>
        <w:pStyle w:val="53"/>
        <w:numPr>
          <w:ilvl w:val="0"/>
          <w:numId w:val="9"/>
        </w:numPr>
        <w:autoSpaceDE w:val="0"/>
        <w:autoSpaceDN w:val="0"/>
        <w:adjustRightInd w:val="0"/>
        <w:spacing w:line="360" w:lineRule="auto"/>
        <w:ind w:left="845" w:leftChars="0" w:hanging="425" w:firstLineChars="0"/>
        <w:jc w:val="left"/>
        <w:rPr>
          <w:rFonts w:ascii="宋体" w:hAnsi="宋体" w:cs="宋体" w:eastAsiaTheme="minorEastAsia"/>
          <w:kern w:val="0"/>
          <w:sz w:val="24"/>
          <w:szCs w:val="24"/>
        </w:rPr>
      </w:pPr>
      <w:r>
        <w:rPr>
          <w:rFonts w:hint="eastAsia" w:cs="宋体"/>
          <w:sz w:val="24"/>
          <w:szCs w:val="24"/>
        </w:rPr>
        <w:t>甲方和丙方承诺，未经乙方书面同意，在提供服务期间获得的任何需要保密信息（包括但不限于受试者隐私）不能向</w:t>
      </w:r>
      <w:r>
        <w:rPr>
          <w:rFonts w:hint="eastAsia" w:cs="宋体"/>
          <w:sz w:val="24"/>
          <w:szCs w:val="24"/>
          <w:lang w:val="en-US" w:eastAsia="zh-CN"/>
        </w:rPr>
        <w:t>任何</w:t>
      </w:r>
      <w:r>
        <w:rPr>
          <w:rFonts w:hint="eastAsia" w:cs="宋体"/>
          <w:sz w:val="24"/>
          <w:szCs w:val="24"/>
        </w:rPr>
        <w:t>第三方泄露，违反此条款所造成的损失由责任方承担。</w:t>
      </w:r>
    </w:p>
    <w:p>
      <w:pPr>
        <w:spacing w:line="360" w:lineRule="auto"/>
        <w:outlineLvl w:val="0"/>
        <w:rPr>
          <w:rFonts w:ascii="宋体" w:hAnsi="宋体"/>
          <w:b/>
          <w:sz w:val="24"/>
          <w:szCs w:val="24"/>
          <w:lang w:eastAsia="zh-CN"/>
        </w:rPr>
      </w:pPr>
      <w:r>
        <w:rPr>
          <w:rFonts w:hint="eastAsia" w:ascii="宋体" w:hAnsi="宋体"/>
          <w:b/>
          <w:sz w:val="24"/>
          <w:szCs w:val="24"/>
          <w:lang w:eastAsia="zh-CN"/>
        </w:rPr>
        <w:t>六、期限和终止</w:t>
      </w:r>
    </w:p>
    <w:p>
      <w:pPr>
        <w:numPr>
          <w:ilvl w:val="0"/>
          <w:numId w:val="10"/>
        </w:numPr>
        <w:spacing w:line="360" w:lineRule="auto"/>
        <w:ind w:left="845" w:leftChars="0" w:hanging="425" w:firstLineChars="0"/>
        <w:rPr>
          <w:rFonts w:ascii="宋体" w:hAnsi="宋体" w:cs="宋体"/>
          <w:sz w:val="24"/>
          <w:szCs w:val="24"/>
        </w:rPr>
      </w:pPr>
      <w:r>
        <w:rPr>
          <w:rFonts w:hint="eastAsia" w:cs="宋体"/>
          <w:sz w:val="24"/>
          <w:szCs w:val="24"/>
          <w:lang w:eastAsia="zh-CN"/>
        </w:rPr>
        <w:t>本</w:t>
      </w:r>
      <w:r>
        <w:rPr>
          <w:rFonts w:hint="eastAsia" w:cs="宋体"/>
          <w:sz w:val="24"/>
          <w:szCs w:val="24"/>
          <w:lang w:val="en-US" w:eastAsia="zh-CN"/>
        </w:rPr>
        <w:t>协议</w:t>
      </w:r>
      <w:r>
        <w:rPr>
          <w:rFonts w:hint="eastAsia" w:cs="宋体"/>
          <w:sz w:val="24"/>
          <w:szCs w:val="24"/>
          <w:lang w:eastAsia="zh-CN"/>
        </w:rPr>
        <w:t>在</w:t>
      </w:r>
      <w:r>
        <w:rPr>
          <w:rFonts w:hint="eastAsia" w:cs="宋体"/>
          <w:sz w:val="24"/>
          <w:szCs w:val="24"/>
          <w:lang w:val="en-US" w:eastAsia="zh-CN"/>
        </w:rPr>
        <w:t>甲乙丙三方</w:t>
      </w:r>
      <w:r>
        <w:rPr>
          <w:rFonts w:hint="eastAsia" w:cs="宋体"/>
          <w:sz w:val="24"/>
          <w:szCs w:val="24"/>
          <w:lang w:eastAsia="zh-CN"/>
        </w:rPr>
        <w:t>签署盖章后生效，一式陆份，甲乙丙方各执贰份，</w:t>
      </w:r>
      <w:r>
        <w:rPr>
          <w:rFonts w:hint="eastAsia" w:ascii="宋体" w:hAnsi="宋体" w:cs="宋体"/>
          <w:sz w:val="24"/>
          <w:szCs w:val="24"/>
        </w:rPr>
        <w:t>具有同等法律效力。</w:t>
      </w:r>
    </w:p>
    <w:p>
      <w:pPr>
        <w:numPr>
          <w:ilvl w:val="0"/>
          <w:numId w:val="10"/>
        </w:numPr>
        <w:spacing w:line="360" w:lineRule="auto"/>
        <w:ind w:left="845" w:leftChars="0" w:hanging="425" w:firstLineChars="0"/>
        <w:rPr>
          <w:sz w:val="24"/>
          <w:szCs w:val="24"/>
          <w:lang w:eastAsia="zh-CN"/>
        </w:rPr>
      </w:pPr>
      <w:r>
        <w:rPr>
          <w:rFonts w:hint="eastAsia" w:cs="宋体"/>
          <w:sz w:val="24"/>
          <w:szCs w:val="24"/>
          <w:lang w:val="en-US" w:eastAsia="zh-CN"/>
        </w:rPr>
        <w:t>本协议</w:t>
      </w:r>
      <w:r>
        <w:rPr>
          <w:rFonts w:hint="eastAsia" w:cs="宋体"/>
          <w:sz w:val="24"/>
          <w:szCs w:val="24"/>
          <w:lang w:eastAsia="zh-CN"/>
        </w:rPr>
        <w:t>在甲方和乙方签署的临床试验协议终止时终止。</w:t>
      </w:r>
    </w:p>
    <w:p>
      <w:pPr>
        <w:numPr>
          <w:ilvl w:val="0"/>
          <w:numId w:val="10"/>
        </w:numPr>
        <w:spacing w:line="360" w:lineRule="auto"/>
        <w:ind w:left="845" w:leftChars="0" w:hanging="425" w:firstLineChars="0"/>
        <w:rPr>
          <w:sz w:val="24"/>
          <w:szCs w:val="24"/>
          <w:lang w:eastAsia="zh-CN"/>
        </w:rPr>
      </w:pPr>
      <w:r>
        <w:rPr>
          <w:rFonts w:hint="eastAsia" w:cs="宋体"/>
          <w:sz w:val="24"/>
          <w:szCs w:val="24"/>
          <w:lang w:eastAsia="zh-CN"/>
        </w:rPr>
        <w:t>对于三方中有一方未履行其应有的职责和义务时，另外两方可终止</w:t>
      </w:r>
      <w:r>
        <w:rPr>
          <w:rFonts w:hint="eastAsia" w:cs="宋体"/>
          <w:sz w:val="24"/>
          <w:szCs w:val="24"/>
          <w:lang w:val="en-US" w:eastAsia="zh-CN"/>
        </w:rPr>
        <w:t>本协议</w:t>
      </w:r>
      <w:r>
        <w:rPr>
          <w:rFonts w:hint="eastAsia" w:cs="宋体"/>
          <w:sz w:val="24"/>
          <w:szCs w:val="24"/>
          <w:lang w:eastAsia="zh-CN"/>
        </w:rPr>
        <w:t>。</w:t>
      </w:r>
    </w:p>
    <w:p>
      <w:pPr>
        <w:numPr>
          <w:ilvl w:val="0"/>
          <w:numId w:val="10"/>
        </w:numPr>
        <w:spacing w:line="360" w:lineRule="auto"/>
        <w:ind w:left="845" w:leftChars="0" w:hanging="425" w:firstLineChars="0"/>
        <w:rPr>
          <w:sz w:val="24"/>
          <w:szCs w:val="24"/>
          <w:lang w:eastAsia="zh-CN"/>
        </w:rPr>
      </w:pPr>
      <w:r>
        <w:rPr>
          <w:rFonts w:hint="eastAsia" w:cs="宋体"/>
          <w:sz w:val="24"/>
          <w:szCs w:val="24"/>
          <w:lang w:eastAsia="zh-CN"/>
        </w:rPr>
        <w:t>如出现不可抗</w:t>
      </w:r>
      <w:r>
        <w:rPr>
          <w:rFonts w:hint="eastAsia" w:cs="宋体"/>
          <w:sz w:val="24"/>
          <w:szCs w:val="24"/>
          <w:lang w:val="en-US" w:eastAsia="zh-CN"/>
        </w:rPr>
        <w:t>力</w:t>
      </w:r>
      <w:r>
        <w:rPr>
          <w:rFonts w:hint="eastAsia" w:cs="宋体"/>
          <w:sz w:val="24"/>
          <w:szCs w:val="24"/>
          <w:lang w:eastAsia="zh-CN"/>
        </w:rPr>
        <w:t>因素，致使本</w:t>
      </w:r>
      <w:r>
        <w:rPr>
          <w:rFonts w:hint="eastAsia" w:cs="宋体"/>
          <w:sz w:val="24"/>
          <w:szCs w:val="24"/>
          <w:lang w:val="en-US" w:eastAsia="zh-CN"/>
        </w:rPr>
        <w:t>协议</w:t>
      </w:r>
      <w:r>
        <w:rPr>
          <w:rFonts w:hint="eastAsia" w:cs="宋体"/>
          <w:sz w:val="24"/>
          <w:szCs w:val="24"/>
          <w:lang w:eastAsia="zh-CN"/>
        </w:rPr>
        <w:t>的履行成为不必要或不可能的，</w:t>
      </w:r>
      <w:r>
        <w:rPr>
          <w:rFonts w:hint="eastAsia" w:cs="宋体"/>
          <w:sz w:val="24"/>
          <w:szCs w:val="24"/>
          <w:lang w:val="en-US" w:eastAsia="zh-CN"/>
        </w:rPr>
        <w:t>任何一方</w:t>
      </w:r>
      <w:r>
        <w:rPr>
          <w:rFonts w:hint="eastAsia" w:cs="宋体"/>
          <w:sz w:val="24"/>
          <w:szCs w:val="24"/>
          <w:lang w:eastAsia="zh-CN"/>
        </w:rPr>
        <w:t>可以解除本</w:t>
      </w:r>
      <w:r>
        <w:rPr>
          <w:rFonts w:hint="eastAsia" w:cs="宋体"/>
          <w:sz w:val="24"/>
          <w:szCs w:val="24"/>
          <w:lang w:val="en-US" w:eastAsia="zh-CN"/>
        </w:rPr>
        <w:t>协议且不承担违约责任</w:t>
      </w:r>
      <w:r>
        <w:rPr>
          <w:rFonts w:hint="eastAsia" w:cs="宋体"/>
          <w:sz w:val="24"/>
          <w:szCs w:val="24"/>
          <w:lang w:eastAsia="zh-CN"/>
        </w:rPr>
        <w:t>。</w:t>
      </w:r>
    </w:p>
    <w:p>
      <w:pPr>
        <w:spacing w:line="360" w:lineRule="auto"/>
        <w:outlineLvl w:val="0"/>
        <w:rPr>
          <w:rFonts w:hint="eastAsia" w:cs="宋体"/>
          <w:b/>
          <w:bCs/>
          <w:sz w:val="24"/>
          <w:szCs w:val="24"/>
          <w:lang w:eastAsia="zh-CN"/>
        </w:rPr>
      </w:pPr>
      <w:r>
        <w:rPr>
          <w:rFonts w:hint="eastAsia" w:cs="宋体"/>
          <w:b/>
          <w:bCs/>
          <w:sz w:val="24"/>
          <w:szCs w:val="24"/>
          <w:lang w:eastAsia="zh-CN"/>
        </w:rPr>
        <w:t>七、违约责任</w:t>
      </w:r>
    </w:p>
    <w:p>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任何一方违反本协议项下所作的任何一项约定或未履行本协议项下任何一项务的行为均构成违约，守约方有权要求违约方在合理期限内补正或采取补救措施，并权要求违约方赔偿其违约行为给守约方造成的损失和费用。</w:t>
      </w:r>
    </w:p>
    <w:p>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如任何一方实质性地违反本协议项下所作的任何一项约定，或实质性地未履行协议项下的任何一项义务，且违约方在合理期限内或在守约方书面通知违约方并提出</w:t>
      </w:r>
      <w:r>
        <w:rPr>
          <w:rFonts w:hint="eastAsia" w:cs="宋体"/>
          <w:b w:val="0"/>
          <w:bCs w:val="0"/>
          <w:sz w:val="24"/>
          <w:szCs w:val="24"/>
          <w:lang w:val="en-US" w:eastAsia="zh-CN"/>
        </w:rPr>
        <w:t>补</w:t>
      </w:r>
      <w:r>
        <w:rPr>
          <w:rFonts w:hint="eastAsia" w:cs="宋体"/>
          <w:b w:val="0"/>
          <w:bCs w:val="0"/>
          <w:sz w:val="24"/>
          <w:szCs w:val="24"/>
          <w:lang w:eastAsia="zh-CN"/>
        </w:rPr>
        <w:t>正要求后</w:t>
      </w:r>
      <w:r>
        <w:rPr>
          <w:rFonts w:hint="default" w:cs="宋体"/>
          <w:b w:val="0"/>
          <w:bCs w:val="0"/>
          <w:sz w:val="24"/>
          <w:szCs w:val="24"/>
          <w:lang w:val="en-US" w:eastAsia="zh-CN"/>
        </w:rPr>
        <w:t>十(10)</w:t>
      </w:r>
      <w:r>
        <w:rPr>
          <w:rFonts w:hint="eastAsia" w:cs="宋体"/>
          <w:b w:val="0"/>
          <w:bCs w:val="0"/>
          <w:sz w:val="24"/>
          <w:szCs w:val="24"/>
          <w:lang w:eastAsia="zh-CN"/>
        </w:rPr>
        <w:t>天内仍未补正或采取补救措施的，则守约方有权经书面通知立即终止</w:t>
      </w:r>
      <w:r>
        <w:rPr>
          <w:rFonts w:hint="eastAsia" w:cs="宋体"/>
          <w:b w:val="0"/>
          <w:bCs w:val="0"/>
          <w:sz w:val="24"/>
          <w:szCs w:val="24"/>
          <w:lang w:val="en-US" w:eastAsia="zh-CN"/>
        </w:rPr>
        <w:t>本</w:t>
      </w:r>
      <w:r>
        <w:rPr>
          <w:rFonts w:hint="eastAsia" w:cs="宋体"/>
          <w:b w:val="0"/>
          <w:bCs w:val="0"/>
          <w:sz w:val="24"/>
          <w:szCs w:val="24"/>
          <w:lang w:eastAsia="zh-CN"/>
        </w:rPr>
        <w:t>协议，并要求违约方给予</w:t>
      </w:r>
      <w:r>
        <w:rPr>
          <w:rFonts w:hint="eastAsia" w:cs="宋体"/>
          <w:b w:val="0"/>
          <w:bCs w:val="0"/>
          <w:sz w:val="24"/>
          <w:szCs w:val="24"/>
          <w:lang w:val="en-US" w:eastAsia="zh-CN"/>
        </w:rPr>
        <w:t>守约方</w:t>
      </w:r>
      <w:r>
        <w:rPr>
          <w:rFonts w:hint="eastAsia" w:cs="宋体"/>
          <w:b w:val="0"/>
          <w:bCs w:val="0"/>
          <w:sz w:val="24"/>
          <w:szCs w:val="24"/>
          <w:lang w:eastAsia="zh-CN"/>
        </w:rPr>
        <w:t>全部的损害赔偿。</w:t>
      </w:r>
    </w:p>
    <w:p>
      <w:pPr>
        <w:numPr>
          <w:ilvl w:val="0"/>
          <w:numId w:val="11"/>
        </w:numPr>
        <w:spacing w:line="360" w:lineRule="auto"/>
        <w:ind w:left="845" w:leftChars="0" w:hanging="425" w:firstLineChars="0"/>
        <w:rPr>
          <w:rFonts w:hint="eastAsia" w:cs="宋体"/>
          <w:b w:val="0"/>
          <w:bCs w:val="0"/>
          <w:sz w:val="24"/>
          <w:szCs w:val="24"/>
          <w:lang w:eastAsia="zh-CN"/>
        </w:rPr>
      </w:pPr>
      <w:r>
        <w:rPr>
          <w:rFonts w:hint="eastAsia" w:cs="宋体"/>
          <w:b w:val="0"/>
          <w:bCs w:val="0"/>
          <w:sz w:val="24"/>
          <w:szCs w:val="24"/>
          <w:lang w:eastAsia="zh-CN"/>
        </w:rPr>
        <w:t>甲方必须按照本协议规定的期限及时支付应付丙方款项。如无故拖延，则每延付一日，应支付</w:t>
      </w:r>
      <w:r>
        <w:rPr>
          <w:rFonts w:hint="eastAsia" w:cs="宋体"/>
          <w:b w:val="0"/>
          <w:bCs w:val="0"/>
          <w:sz w:val="24"/>
          <w:szCs w:val="24"/>
          <w:lang w:val="en-US" w:eastAsia="zh-CN"/>
        </w:rPr>
        <w:t>丙</w:t>
      </w:r>
      <w:r>
        <w:rPr>
          <w:rFonts w:hint="eastAsia" w:cs="宋体"/>
          <w:b w:val="0"/>
          <w:bCs w:val="0"/>
          <w:sz w:val="24"/>
          <w:szCs w:val="24"/>
          <w:lang w:eastAsia="zh-CN"/>
        </w:rPr>
        <w:t>方</w:t>
      </w:r>
      <w:r>
        <w:rPr>
          <w:rFonts w:hint="eastAsia" w:cs="宋体"/>
          <w:b w:val="0"/>
          <w:bCs w:val="0"/>
          <w:sz w:val="24"/>
          <w:szCs w:val="24"/>
          <w:lang w:val="en-US" w:eastAsia="zh-CN"/>
        </w:rPr>
        <w:t>协议</w:t>
      </w:r>
      <w:r>
        <w:rPr>
          <w:rFonts w:hint="eastAsia" w:cs="宋体"/>
          <w:b w:val="0"/>
          <w:bCs w:val="0"/>
          <w:sz w:val="24"/>
          <w:szCs w:val="24"/>
          <w:lang w:eastAsia="zh-CN"/>
        </w:rPr>
        <w:t>总金额0.2%的迟延履行金；但因丙方未按期限完成工作或完成工作不合格的除外。</w:t>
      </w:r>
    </w:p>
    <w:p>
      <w:pPr>
        <w:numPr>
          <w:ilvl w:val="0"/>
          <w:numId w:val="11"/>
        </w:numPr>
        <w:spacing w:line="360" w:lineRule="auto"/>
        <w:ind w:left="845" w:leftChars="0" w:hanging="425" w:firstLineChars="0"/>
        <w:rPr>
          <w:rFonts w:hint="eastAsia" w:cs="宋体"/>
          <w:b w:val="0"/>
          <w:bCs w:val="0"/>
          <w:sz w:val="24"/>
          <w:szCs w:val="24"/>
          <w:highlight w:val="none"/>
          <w:lang w:eastAsia="zh-CN"/>
        </w:rPr>
      </w:pPr>
      <w:r>
        <w:rPr>
          <w:rFonts w:hint="eastAsia" w:cs="宋体"/>
          <w:b w:val="0"/>
          <w:bCs w:val="0"/>
          <w:sz w:val="24"/>
          <w:szCs w:val="24"/>
          <w:lang w:eastAsia="zh-CN"/>
        </w:rPr>
        <w:t>本</w:t>
      </w:r>
      <w:r>
        <w:rPr>
          <w:rFonts w:hint="eastAsia" w:cs="宋体"/>
          <w:b w:val="0"/>
          <w:bCs w:val="0"/>
          <w:sz w:val="24"/>
          <w:szCs w:val="24"/>
          <w:lang w:val="en-US" w:eastAsia="zh-CN"/>
        </w:rPr>
        <w:t>协议</w:t>
      </w:r>
      <w:r>
        <w:rPr>
          <w:rFonts w:hint="eastAsia" w:cs="宋体"/>
          <w:b w:val="0"/>
          <w:bCs w:val="0"/>
          <w:sz w:val="24"/>
          <w:szCs w:val="24"/>
          <w:lang w:eastAsia="zh-CN"/>
        </w:rPr>
        <w:t>签定后，任何</w:t>
      </w:r>
      <w:r>
        <w:rPr>
          <w:rFonts w:hint="eastAsia" w:cs="宋体"/>
          <w:b w:val="0"/>
          <w:bCs w:val="0"/>
          <w:sz w:val="24"/>
          <w:szCs w:val="24"/>
          <w:lang w:val="en-US" w:eastAsia="zh-CN"/>
        </w:rPr>
        <w:t>一方</w:t>
      </w:r>
      <w:r>
        <w:rPr>
          <w:rFonts w:hint="eastAsia" w:cs="宋体"/>
          <w:b w:val="0"/>
          <w:bCs w:val="0"/>
          <w:sz w:val="24"/>
          <w:szCs w:val="24"/>
          <w:lang w:eastAsia="zh-CN"/>
        </w:rPr>
        <w:t>单方面不履行</w:t>
      </w:r>
      <w:r>
        <w:rPr>
          <w:rFonts w:hint="eastAsia" w:cs="宋体"/>
          <w:b w:val="0"/>
          <w:bCs w:val="0"/>
          <w:sz w:val="24"/>
          <w:szCs w:val="24"/>
          <w:lang w:val="en-US" w:eastAsia="zh-CN"/>
        </w:rPr>
        <w:t>协议</w:t>
      </w:r>
      <w:r>
        <w:rPr>
          <w:rFonts w:hint="eastAsia" w:cs="宋体"/>
          <w:b w:val="0"/>
          <w:bCs w:val="0"/>
          <w:sz w:val="24"/>
          <w:szCs w:val="24"/>
          <w:lang w:eastAsia="zh-CN"/>
        </w:rPr>
        <w:t>或擅自单方面解除</w:t>
      </w:r>
      <w:r>
        <w:rPr>
          <w:rFonts w:hint="eastAsia" w:cs="宋体"/>
          <w:b w:val="0"/>
          <w:bCs w:val="0"/>
          <w:sz w:val="24"/>
          <w:szCs w:val="24"/>
          <w:lang w:val="en-US" w:eastAsia="zh-CN"/>
        </w:rPr>
        <w:t>协议</w:t>
      </w:r>
      <w:r>
        <w:rPr>
          <w:rFonts w:hint="eastAsia" w:cs="宋体"/>
          <w:b w:val="0"/>
          <w:bCs w:val="0"/>
          <w:sz w:val="24"/>
          <w:szCs w:val="24"/>
          <w:lang w:eastAsia="zh-CN"/>
        </w:rPr>
        <w:t>给对方造成损失的，应</w:t>
      </w:r>
      <w:r>
        <w:rPr>
          <w:rFonts w:hint="eastAsia" w:cs="宋体"/>
          <w:b w:val="0"/>
          <w:bCs w:val="0"/>
          <w:sz w:val="24"/>
          <w:szCs w:val="24"/>
          <w:highlight w:val="none"/>
          <w:lang w:eastAsia="zh-CN"/>
        </w:rPr>
        <w:t>承担相应赔偿责任。</w:t>
      </w:r>
    </w:p>
    <w:p>
      <w:pPr>
        <w:numPr>
          <w:ilvl w:val="-1"/>
          <w:numId w:val="0"/>
        </w:numPr>
        <w:spacing w:line="360" w:lineRule="auto"/>
        <w:ind w:left="420" w:leftChars="0" w:firstLine="0" w:firstLineChars="0"/>
        <w:rPr>
          <w:rFonts w:hint="eastAsia" w:cs="宋体"/>
          <w:b w:val="0"/>
          <w:bCs w:val="0"/>
          <w:sz w:val="24"/>
          <w:szCs w:val="24"/>
          <w:highlight w:val="none"/>
          <w:lang w:eastAsia="zh-CN"/>
        </w:rPr>
      </w:pPr>
    </w:p>
    <w:p>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合同变更及争议处理方法</w:t>
      </w:r>
    </w:p>
    <w:p>
      <w:pPr>
        <w:numPr>
          <w:ilvl w:val="0"/>
          <w:numId w:val="13"/>
        </w:numPr>
        <w:autoSpaceDE w:val="0"/>
        <w:autoSpaceDN w:val="0"/>
        <w:spacing w:line="360" w:lineRule="auto"/>
        <w:ind w:left="845" w:leftChars="0" w:hanging="425" w:firstLineChars="0"/>
        <w:rPr>
          <w:rFonts w:hAnsi="宋体"/>
          <w:color w:val="000000"/>
          <w:sz w:val="24"/>
          <w:szCs w:val="24"/>
          <w:lang w:val="zh-CN"/>
        </w:rPr>
      </w:pPr>
      <w:r>
        <w:rPr>
          <w:rFonts w:hint="eastAsia" w:hAnsi="宋体"/>
          <w:color w:val="000000"/>
          <w:sz w:val="24"/>
          <w:szCs w:val="24"/>
        </w:rPr>
        <w:t xml:space="preserve"> </w:t>
      </w:r>
      <w:r>
        <w:rPr>
          <w:rFonts w:hint="eastAsia" w:hAnsi="宋体"/>
          <w:color w:val="000000"/>
          <w:sz w:val="24"/>
          <w:szCs w:val="24"/>
          <w:lang w:val="en-US" w:eastAsia="zh-CN"/>
        </w:rPr>
        <w:t>本协议</w:t>
      </w:r>
      <w:r>
        <w:rPr>
          <w:rFonts w:hint="eastAsia" w:hAnsi="宋体"/>
          <w:color w:val="000000"/>
          <w:sz w:val="24"/>
          <w:szCs w:val="24"/>
          <w:lang w:val="zh-CN"/>
        </w:rPr>
        <w:t>在</w:t>
      </w:r>
      <w:r>
        <w:rPr>
          <w:rFonts w:hint="eastAsia" w:hAnsi="宋体"/>
          <w:color w:val="000000"/>
          <w:sz w:val="24"/>
          <w:szCs w:val="24"/>
        </w:rPr>
        <w:t>各</w:t>
      </w:r>
      <w:r>
        <w:rPr>
          <w:rFonts w:hint="eastAsia" w:hAnsi="宋体"/>
          <w:color w:val="000000"/>
          <w:sz w:val="24"/>
          <w:szCs w:val="24"/>
          <w:lang w:val="zh-CN"/>
        </w:rPr>
        <w:t>方商定定稿后，在</w:t>
      </w:r>
      <w:r>
        <w:rPr>
          <w:rFonts w:hint="eastAsia" w:hAnsi="宋体"/>
          <w:color w:val="000000"/>
          <w:sz w:val="24"/>
          <w:szCs w:val="24"/>
          <w:lang w:val="en-US" w:eastAsia="zh-CN"/>
        </w:rPr>
        <w:t>协议</w:t>
      </w:r>
      <w:r>
        <w:rPr>
          <w:rFonts w:hint="eastAsia" w:hAnsi="宋体"/>
          <w:color w:val="000000"/>
          <w:sz w:val="24"/>
          <w:szCs w:val="24"/>
          <w:lang w:val="zh-CN"/>
        </w:rPr>
        <w:t>签署期间，</w:t>
      </w:r>
      <w:r>
        <w:rPr>
          <w:rFonts w:hint="eastAsia" w:hAnsi="宋体"/>
          <w:color w:val="000000"/>
          <w:sz w:val="24"/>
          <w:szCs w:val="24"/>
        </w:rPr>
        <w:t>各</w:t>
      </w:r>
      <w:r>
        <w:rPr>
          <w:rFonts w:hint="eastAsia" w:hAnsi="宋体"/>
          <w:color w:val="000000"/>
          <w:sz w:val="24"/>
          <w:szCs w:val="24"/>
          <w:lang w:val="zh-CN"/>
        </w:rPr>
        <w:t>方如有任何改动</w:t>
      </w:r>
      <w:r>
        <w:rPr>
          <w:rFonts w:hint="eastAsia" w:hAnsi="宋体"/>
          <w:color w:val="000000"/>
          <w:sz w:val="24"/>
          <w:szCs w:val="24"/>
          <w:lang w:val="en-US" w:eastAsia="zh-CN"/>
        </w:rPr>
        <w:t>需友好协商且</w:t>
      </w:r>
      <w:r>
        <w:rPr>
          <w:rFonts w:hint="eastAsia" w:hAnsi="宋体"/>
          <w:color w:val="000000"/>
          <w:sz w:val="24"/>
          <w:szCs w:val="24"/>
          <w:lang w:val="zh-CN"/>
        </w:rPr>
        <w:t>必须经另</w:t>
      </w:r>
      <w:r>
        <w:rPr>
          <w:rFonts w:hint="eastAsia" w:hAnsi="宋体"/>
          <w:color w:val="000000"/>
          <w:sz w:val="24"/>
          <w:szCs w:val="24"/>
        </w:rPr>
        <w:t>外两</w:t>
      </w:r>
      <w:r>
        <w:rPr>
          <w:rFonts w:hint="eastAsia" w:hAnsi="宋体"/>
          <w:color w:val="000000"/>
          <w:sz w:val="24"/>
          <w:szCs w:val="24"/>
          <w:lang w:val="zh-CN"/>
        </w:rPr>
        <w:t>方</w:t>
      </w:r>
      <w:r>
        <w:rPr>
          <w:rFonts w:hint="eastAsia" w:hAnsi="宋体"/>
          <w:color w:val="000000"/>
          <w:sz w:val="24"/>
          <w:szCs w:val="24"/>
          <w:lang w:val="en-US" w:eastAsia="zh-CN"/>
        </w:rPr>
        <w:t>书面</w:t>
      </w:r>
      <w:r>
        <w:rPr>
          <w:rFonts w:hint="eastAsia" w:hAnsi="宋体"/>
          <w:color w:val="000000"/>
          <w:sz w:val="24"/>
          <w:szCs w:val="24"/>
          <w:lang w:val="zh-CN"/>
        </w:rPr>
        <w:t>同意，如果任何一方私自改动而未经另</w:t>
      </w:r>
      <w:r>
        <w:rPr>
          <w:rFonts w:hint="eastAsia" w:hAnsi="宋体"/>
          <w:color w:val="000000"/>
          <w:sz w:val="24"/>
          <w:szCs w:val="24"/>
        </w:rPr>
        <w:t>外两</w:t>
      </w:r>
      <w:r>
        <w:rPr>
          <w:rFonts w:hint="eastAsia" w:hAnsi="宋体"/>
          <w:color w:val="000000"/>
          <w:sz w:val="24"/>
          <w:szCs w:val="24"/>
          <w:lang w:val="zh-CN"/>
        </w:rPr>
        <w:t>方</w:t>
      </w:r>
      <w:r>
        <w:rPr>
          <w:rFonts w:hint="eastAsia" w:hAnsi="宋体"/>
          <w:color w:val="000000"/>
          <w:sz w:val="24"/>
          <w:szCs w:val="24"/>
          <w:lang w:val="en-US" w:eastAsia="zh-CN"/>
        </w:rPr>
        <w:t>书面</w:t>
      </w:r>
      <w:r>
        <w:rPr>
          <w:rFonts w:hint="eastAsia" w:hAnsi="宋体"/>
          <w:color w:val="000000"/>
          <w:sz w:val="24"/>
          <w:szCs w:val="24"/>
          <w:lang w:val="zh-CN"/>
        </w:rPr>
        <w:t>同意，则改动方</w:t>
      </w:r>
      <w:r>
        <w:rPr>
          <w:rFonts w:hint="eastAsia" w:hAnsi="宋体"/>
          <w:color w:val="000000"/>
          <w:sz w:val="24"/>
          <w:szCs w:val="24"/>
          <w:lang w:val="en-US" w:eastAsia="zh-CN"/>
        </w:rPr>
        <w:t>的改动行为及内容无效</w:t>
      </w:r>
      <w:r>
        <w:rPr>
          <w:rFonts w:hint="eastAsia" w:hAnsi="宋体"/>
          <w:color w:val="000000"/>
          <w:sz w:val="24"/>
          <w:szCs w:val="24"/>
          <w:lang w:val="zh-CN"/>
        </w:rPr>
        <w:t>。</w:t>
      </w:r>
    </w:p>
    <w:p>
      <w:pPr>
        <w:numPr>
          <w:ilvl w:val="0"/>
          <w:numId w:val="13"/>
        </w:numPr>
        <w:autoSpaceDE w:val="0"/>
        <w:autoSpaceDN w:val="0"/>
        <w:spacing w:line="360" w:lineRule="auto"/>
        <w:ind w:left="845" w:leftChars="0" w:hanging="425" w:firstLineChars="0"/>
        <w:rPr>
          <w:color w:val="000000"/>
          <w:sz w:val="24"/>
          <w:szCs w:val="24"/>
          <w:lang w:val="zh-CN"/>
        </w:rPr>
      </w:pPr>
      <w:r>
        <w:rPr>
          <w:rFonts w:hint="eastAsia" w:hAnsi="宋体"/>
          <w:color w:val="000000"/>
          <w:sz w:val="24"/>
          <w:szCs w:val="24"/>
        </w:rPr>
        <w:t xml:space="preserve"> </w:t>
      </w:r>
      <w:r>
        <w:rPr>
          <w:rFonts w:hint="eastAsia" w:hAnsi="宋体"/>
          <w:color w:val="000000"/>
          <w:sz w:val="24"/>
          <w:szCs w:val="24"/>
          <w:lang w:val="zh-CN"/>
        </w:rPr>
        <w:t>任一方若出于任何安全性和/或有效性考虑，需终止本</w:t>
      </w:r>
      <w:r>
        <w:rPr>
          <w:rFonts w:hint="eastAsia" w:hAnsi="宋体"/>
          <w:color w:val="000000"/>
          <w:sz w:val="24"/>
          <w:szCs w:val="24"/>
          <w:lang w:val="en-US" w:eastAsia="zh-CN"/>
        </w:rPr>
        <w:t>协议</w:t>
      </w:r>
      <w:r>
        <w:rPr>
          <w:rFonts w:hint="eastAsia" w:hAnsi="宋体"/>
          <w:color w:val="000000"/>
          <w:sz w:val="24"/>
          <w:szCs w:val="24"/>
          <w:lang w:val="zh-CN"/>
        </w:rPr>
        <w:t>，应提前至少1周以书面方式通知</w:t>
      </w:r>
      <w:r>
        <w:rPr>
          <w:rFonts w:hint="eastAsia" w:hAnsi="宋体"/>
          <w:color w:val="000000"/>
          <w:sz w:val="24"/>
          <w:szCs w:val="24"/>
        </w:rPr>
        <w:t>各</w:t>
      </w:r>
      <w:r>
        <w:rPr>
          <w:rFonts w:hint="eastAsia" w:hAnsi="宋体"/>
          <w:color w:val="000000"/>
          <w:sz w:val="24"/>
          <w:szCs w:val="24"/>
          <w:lang w:val="zh-CN"/>
        </w:rPr>
        <w:t>方。服务费用应当结算至三方共同确认的终止日。</w:t>
      </w:r>
    </w:p>
    <w:p>
      <w:pPr>
        <w:numPr>
          <w:ilvl w:val="0"/>
          <w:numId w:val="13"/>
        </w:numPr>
        <w:autoSpaceDE w:val="0"/>
        <w:autoSpaceDN w:val="0"/>
        <w:spacing w:line="360" w:lineRule="auto"/>
        <w:ind w:left="845" w:leftChars="0" w:hanging="425" w:firstLineChars="0"/>
        <w:rPr>
          <w:rFonts w:hAnsi="宋体"/>
          <w:color w:val="000000"/>
          <w:sz w:val="24"/>
          <w:szCs w:val="24"/>
          <w:lang w:val="zh-CN"/>
        </w:rPr>
      </w:pPr>
      <w:r>
        <w:rPr>
          <w:rFonts w:hint="eastAsia"/>
          <w:color w:val="000000"/>
          <w:sz w:val="24"/>
          <w:szCs w:val="24"/>
        </w:rPr>
        <w:t xml:space="preserve"> 若甲方与乙方签订的</w:t>
      </w:r>
      <w:r>
        <w:rPr>
          <w:rFonts w:hint="eastAsia" w:ascii="宋体" w:hAnsi="宋体" w:cs="宋体"/>
          <w:sz w:val="24"/>
          <w:szCs w:val="24"/>
        </w:rPr>
        <w:t>临床研究协议（合同）提前终止的，则本协议也立即终止。</w:t>
      </w:r>
    </w:p>
    <w:p>
      <w:pPr>
        <w:numPr>
          <w:ilvl w:val="0"/>
          <w:numId w:val="12"/>
        </w:numPr>
        <w:spacing w:line="360" w:lineRule="auto"/>
        <w:outlineLvl w:val="0"/>
        <w:rPr>
          <w:sz w:val="24"/>
          <w:szCs w:val="24"/>
          <w:highlight w:val="none"/>
          <w:lang w:eastAsia="zh-CN"/>
        </w:rPr>
      </w:pPr>
      <w:r>
        <w:rPr>
          <w:rFonts w:hint="eastAsia" w:cs="Arial" w:asciiTheme="minorEastAsia" w:hAnsiTheme="minorEastAsia" w:eastAsiaTheme="minorEastAsia"/>
          <w:b/>
          <w:color w:val="000000"/>
          <w:sz w:val="24"/>
          <w:szCs w:val="24"/>
          <w:highlight w:val="none"/>
          <w:lang w:eastAsia="zh-CN"/>
        </w:rPr>
        <w:t>争议解决</w:t>
      </w:r>
    </w:p>
    <w:p>
      <w:pPr>
        <w:numPr>
          <w:ilvl w:val="0"/>
          <w:numId w:val="0"/>
        </w:numPr>
        <w:spacing w:line="360" w:lineRule="auto"/>
        <w:ind w:firstLine="480" w:firstLineChars="200"/>
        <w:rPr>
          <w:rFonts w:hint="eastAsia" w:cs="Arial" w:asciiTheme="minorEastAsia" w:hAnsiTheme="minorEastAsia" w:eastAsiaTheme="minorEastAsia"/>
          <w:b/>
          <w:color w:val="000000"/>
          <w:sz w:val="24"/>
          <w:szCs w:val="24"/>
          <w:highlight w:val="none"/>
          <w:lang w:val="zh-CN" w:eastAsia="zh-CN"/>
        </w:rPr>
      </w:pPr>
      <w:r>
        <w:rPr>
          <w:rFonts w:hint="eastAsia" w:hAnsi="宋体"/>
          <w:color w:val="000000"/>
          <w:sz w:val="24"/>
          <w:szCs w:val="24"/>
          <w:lang w:val="zh-CN"/>
        </w:rPr>
        <w:t>本项目的试验方案、GCP和其他相关法律法规适用于本协议，</w:t>
      </w:r>
      <w:r>
        <w:rPr>
          <w:rFonts w:hint="eastAsia" w:hAnsi="宋体"/>
          <w:color w:val="000000"/>
          <w:sz w:val="24"/>
          <w:szCs w:val="24"/>
        </w:rPr>
        <w:t>各</w:t>
      </w:r>
      <w:r>
        <w:rPr>
          <w:rFonts w:hint="eastAsia" w:hAnsi="宋体"/>
          <w:color w:val="000000"/>
          <w:sz w:val="24"/>
          <w:szCs w:val="24"/>
          <w:lang w:val="zh-CN"/>
        </w:rPr>
        <w:t>方应信守协议，若</w:t>
      </w:r>
      <w:r>
        <w:rPr>
          <w:rFonts w:hint="eastAsia"/>
          <w:sz w:val="24"/>
          <w:szCs w:val="24"/>
        </w:rPr>
        <w:t>各方就本协议项下条款的解释和履行发生争议时，各方应首先通过友好协商解决该争议。如果协商不成，</w:t>
      </w:r>
      <w:r>
        <w:rPr>
          <w:rFonts w:hint="eastAsia" w:hAnsi="宋体"/>
          <w:color w:val="000000"/>
          <w:sz w:val="24"/>
          <w:szCs w:val="24"/>
          <w:lang w:val="zh-CN"/>
        </w:rPr>
        <w:t>任何一方可向乙方所在地的有管辖权的法院起诉，由败诉方承担诉讼费、律师费、鉴定费和差旅费</w:t>
      </w:r>
      <w:r>
        <w:rPr>
          <w:rFonts w:hint="eastAsia" w:cs="Arial" w:asciiTheme="minorEastAsia" w:hAnsiTheme="minorEastAsia" w:eastAsiaTheme="minorEastAsia"/>
          <w:b w:val="0"/>
          <w:bCs/>
          <w:color w:val="000000"/>
          <w:sz w:val="24"/>
          <w:szCs w:val="24"/>
          <w:highlight w:val="none"/>
          <w:lang w:val="zh-CN" w:eastAsia="zh-CN"/>
        </w:rPr>
        <w:t>等费用。</w:t>
      </w:r>
    </w:p>
    <w:p>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不可抗力</w:t>
      </w:r>
    </w:p>
    <w:p>
      <w:pPr>
        <w:autoSpaceDE w:val="0"/>
        <w:autoSpaceDN w:val="0"/>
        <w:spacing w:line="360" w:lineRule="auto"/>
        <w:ind w:firstLine="480" w:firstLineChars="200"/>
        <w:jc w:val="both"/>
        <w:rPr>
          <w:rFonts w:hAnsi="宋体"/>
          <w:color w:val="000000"/>
          <w:sz w:val="24"/>
          <w:szCs w:val="24"/>
          <w:lang w:val="zh-CN"/>
        </w:rPr>
      </w:pPr>
      <w:r>
        <w:rPr>
          <w:rFonts w:hint="eastAsia" w:hAnsi="宋体"/>
          <w:color w:val="000000"/>
          <w:sz w:val="24"/>
          <w:szCs w:val="24"/>
          <w:lang w:val="zh-CN"/>
        </w:rPr>
        <w:t>由于天灾、战争、内乱、暴动或者由于政府主管部门改变法律法规等不可抗力致使本协议无法履行的，甲乙丙三方均不承担责任，但各方应精诚合作，尽量使得对方的损失降到最低程度。</w:t>
      </w:r>
    </w:p>
    <w:p>
      <w:pPr>
        <w:numPr>
          <w:ilvl w:val="0"/>
          <w:numId w:val="12"/>
        </w:numPr>
        <w:spacing w:line="360" w:lineRule="auto"/>
        <w:outlineLvl w:val="0"/>
        <w:rPr>
          <w:rFonts w:hint="eastAsia" w:cs="Arial" w:asciiTheme="minorEastAsia" w:hAnsiTheme="minorEastAsia" w:eastAsiaTheme="minorEastAsia"/>
          <w:b/>
          <w:color w:val="000000"/>
          <w:sz w:val="24"/>
          <w:szCs w:val="24"/>
          <w:highlight w:val="none"/>
          <w:lang w:val="zh-CN" w:eastAsia="zh-CN"/>
        </w:rPr>
      </w:pPr>
      <w:r>
        <w:rPr>
          <w:rFonts w:hint="eastAsia" w:cs="Arial" w:asciiTheme="minorEastAsia" w:hAnsiTheme="minorEastAsia" w:eastAsiaTheme="minorEastAsia"/>
          <w:b/>
          <w:color w:val="000000"/>
          <w:sz w:val="24"/>
          <w:szCs w:val="24"/>
          <w:highlight w:val="none"/>
          <w:lang w:val="zh-CN" w:eastAsia="zh-CN"/>
        </w:rPr>
        <w:t xml:space="preserve"> 其他</w:t>
      </w:r>
    </w:p>
    <w:p>
      <w:pPr>
        <w:numPr>
          <w:ilvl w:val="0"/>
          <w:numId w:val="14"/>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本协议附件</w:t>
      </w:r>
      <w:r>
        <w:rPr>
          <w:rFonts w:hint="eastAsia" w:ascii="宋体" w:hAnsi="宋体" w:cs="宋体"/>
          <w:sz w:val="24"/>
          <w:szCs w:val="24"/>
          <w:lang w:eastAsia="zh-CN"/>
        </w:rPr>
        <w:t>为本协议重要组成部分，</w:t>
      </w:r>
      <w:r>
        <w:rPr>
          <w:rFonts w:hint="eastAsia" w:ascii="宋体" w:hAnsi="宋体" w:cs="宋体"/>
          <w:sz w:val="24"/>
          <w:szCs w:val="24"/>
        </w:rPr>
        <w:t>与本协议正文具有同等法律效力。</w:t>
      </w:r>
      <w:r>
        <w:rPr>
          <w:rFonts w:hint="eastAsia" w:ascii="宋体" w:hAnsi="宋体" w:cs="宋体"/>
          <w:sz w:val="24"/>
          <w:szCs w:val="24"/>
          <w:lang w:eastAsia="zh-CN"/>
        </w:rPr>
        <w:t>协议附件与协议正文约定不一致的，以协议正文约定为准。</w:t>
      </w:r>
    </w:p>
    <w:p>
      <w:pPr>
        <w:numPr>
          <w:ilvl w:val="-1"/>
          <w:numId w:val="0"/>
        </w:numPr>
        <w:spacing w:line="360" w:lineRule="auto"/>
        <w:ind w:left="-200" w:leftChars="-100" w:firstLine="480" w:firstLineChars="200"/>
        <w:rPr>
          <w:rFonts w:hint="eastAsia" w:ascii="宋体" w:hAnsi="宋体" w:cs="宋体"/>
          <w:sz w:val="24"/>
          <w:szCs w:val="24"/>
        </w:rPr>
      </w:pPr>
      <w:r>
        <w:rPr>
          <w:rFonts w:hint="eastAsia" w:ascii="宋体" w:hAnsi="宋体" w:cs="宋体"/>
          <w:sz w:val="24"/>
          <w:szCs w:val="24"/>
          <w:lang w:eastAsia="zh-CN"/>
        </w:rPr>
        <w:t>附件一：CRC工作职责</w:t>
      </w:r>
    </w:p>
    <w:p>
      <w:pPr>
        <w:numPr>
          <w:ilvl w:val="0"/>
          <w:numId w:val="14"/>
        </w:numPr>
        <w:spacing w:line="360" w:lineRule="auto"/>
        <w:ind w:left="240" w:hanging="240" w:hangingChars="100"/>
        <w:rPr>
          <w:rFonts w:hint="eastAsia" w:ascii="宋体" w:hAnsi="宋体" w:cs="宋体"/>
          <w:sz w:val="24"/>
          <w:szCs w:val="24"/>
        </w:rPr>
      </w:pPr>
      <w:r>
        <w:rPr>
          <w:rFonts w:hint="eastAsia" w:ascii="宋体" w:hAnsi="宋体" w:cs="宋体"/>
          <w:sz w:val="24"/>
          <w:szCs w:val="24"/>
        </w:rPr>
        <w:t>本协议的终止或到期不影响第</w:t>
      </w:r>
      <w:r>
        <w:rPr>
          <w:rFonts w:hint="eastAsia" w:ascii="宋体" w:hAnsi="宋体" w:cs="宋体"/>
          <w:sz w:val="24"/>
          <w:szCs w:val="24"/>
          <w:lang w:eastAsia="zh-CN"/>
        </w:rPr>
        <w:t>三</w:t>
      </w:r>
      <w:r>
        <w:rPr>
          <w:rFonts w:hint="eastAsia" w:ascii="宋体" w:hAnsi="宋体" w:cs="宋体"/>
          <w:sz w:val="24"/>
          <w:szCs w:val="24"/>
        </w:rPr>
        <w:t>条（</w:t>
      </w:r>
      <w:r>
        <w:rPr>
          <w:rFonts w:hint="eastAsia" w:ascii="宋体" w:hAnsi="宋体" w:cs="宋体"/>
          <w:sz w:val="24"/>
          <w:szCs w:val="24"/>
          <w:lang w:eastAsia="zh-CN"/>
        </w:rPr>
        <w:t>数据的所有权</w:t>
      </w:r>
      <w:r>
        <w:rPr>
          <w:rFonts w:hint="eastAsia" w:ascii="宋体" w:hAnsi="宋体" w:cs="宋体"/>
          <w:sz w:val="24"/>
          <w:szCs w:val="24"/>
        </w:rPr>
        <w:t>）、第</w:t>
      </w:r>
      <w:r>
        <w:rPr>
          <w:rFonts w:hint="eastAsia" w:ascii="宋体" w:hAnsi="宋体" w:cs="宋体"/>
          <w:sz w:val="24"/>
          <w:szCs w:val="24"/>
          <w:lang w:eastAsia="zh-CN"/>
        </w:rPr>
        <w:t>五</w:t>
      </w:r>
      <w:r>
        <w:rPr>
          <w:rFonts w:hint="eastAsia" w:ascii="宋体" w:hAnsi="宋体" w:cs="宋体"/>
          <w:sz w:val="24"/>
          <w:szCs w:val="24"/>
        </w:rPr>
        <w:t>条（保密</w:t>
      </w:r>
      <w:r>
        <w:rPr>
          <w:rFonts w:hint="eastAsia" w:ascii="宋体" w:hAnsi="宋体" w:cs="宋体"/>
          <w:sz w:val="24"/>
          <w:szCs w:val="24"/>
          <w:lang w:eastAsia="zh-CN"/>
        </w:rPr>
        <w:t>义务</w:t>
      </w:r>
      <w:r>
        <w:rPr>
          <w:rFonts w:hint="eastAsia" w:ascii="宋体" w:hAnsi="宋体" w:cs="宋体"/>
          <w:sz w:val="24"/>
          <w:szCs w:val="24"/>
        </w:rPr>
        <w:t>）的效力。</w:t>
      </w:r>
    </w:p>
    <w:p>
      <w:pPr>
        <w:numPr>
          <w:ilvl w:val="0"/>
          <w:numId w:val="14"/>
        </w:numPr>
        <w:spacing w:line="360" w:lineRule="auto"/>
        <w:ind w:left="240" w:hanging="240" w:hangingChars="100"/>
        <w:rPr>
          <w:rFonts w:hint="eastAsia" w:hAnsi="宋体"/>
          <w:color w:val="000000"/>
          <w:sz w:val="24"/>
          <w:szCs w:val="24"/>
          <w:lang w:val="zh-CN" w:eastAsia="zh-CN"/>
        </w:rPr>
      </w:pPr>
      <w:r>
        <w:rPr>
          <w:rFonts w:hint="eastAsia" w:ascii="宋体" w:hAnsi="宋体" w:cs="宋体"/>
          <w:sz w:val="24"/>
          <w:szCs w:val="24"/>
        </w:rPr>
        <w:t>本</w:t>
      </w:r>
      <w:r>
        <w:rPr>
          <w:rFonts w:hint="eastAsia" w:ascii="宋体" w:hAnsi="宋体" w:cs="宋体"/>
          <w:sz w:val="24"/>
          <w:szCs w:val="24"/>
          <w:lang w:val="en-US" w:eastAsia="zh-CN"/>
        </w:rPr>
        <w:t>协议</w:t>
      </w:r>
      <w:r>
        <w:rPr>
          <w:rFonts w:hint="eastAsia" w:ascii="宋体" w:hAnsi="宋体" w:cs="宋体"/>
          <w:sz w:val="24"/>
          <w:szCs w:val="24"/>
        </w:rPr>
        <w:t>首部中各方的地址和电话为互相接收信函、通知、材料以及司法机关送达法律文</w:t>
      </w:r>
      <w:r>
        <w:rPr>
          <w:rFonts w:hint="eastAsia" w:ascii="宋体" w:hAnsi="宋体" w:cs="宋体"/>
          <w:sz w:val="24"/>
          <w:szCs w:val="24"/>
          <w:lang w:val="en-US" w:eastAsia="zh-CN"/>
        </w:rPr>
        <w:t>书</w:t>
      </w:r>
      <w:r>
        <w:rPr>
          <w:rFonts w:hint="eastAsia" w:ascii="宋体" w:hAnsi="宋体" w:cs="宋体"/>
          <w:sz w:val="24"/>
          <w:szCs w:val="24"/>
        </w:rPr>
        <w:t>等的法定送达地址和联系电话，</w:t>
      </w:r>
      <w:r>
        <w:rPr>
          <w:rFonts w:hint="eastAsia" w:ascii="宋体" w:hAnsi="宋体" w:cs="宋体"/>
          <w:sz w:val="24"/>
          <w:szCs w:val="24"/>
          <w:lang w:val="en-US" w:eastAsia="zh-CN"/>
        </w:rPr>
        <w:t>协议</w:t>
      </w:r>
      <w:r>
        <w:rPr>
          <w:rFonts w:hint="eastAsia" w:ascii="宋体" w:hAnsi="宋体" w:cs="宋体"/>
          <w:sz w:val="24"/>
          <w:szCs w:val="24"/>
        </w:rPr>
        <w:t>一方变更地址和电话，应提前五日书面通知</w:t>
      </w:r>
      <w:r>
        <w:rPr>
          <w:rFonts w:hint="eastAsia" w:ascii="宋体" w:hAnsi="宋体" w:cs="宋体"/>
          <w:sz w:val="24"/>
          <w:szCs w:val="24"/>
          <w:lang w:val="en-US" w:eastAsia="zh-CN"/>
        </w:rPr>
        <w:t>另两</w:t>
      </w:r>
      <w:r>
        <w:rPr>
          <w:rFonts w:hint="eastAsia" w:ascii="宋体" w:hAnsi="宋体" w:cs="宋体"/>
          <w:sz w:val="24"/>
          <w:szCs w:val="24"/>
        </w:rPr>
        <w:t>方，变更方未及时通知</w:t>
      </w:r>
      <w:r>
        <w:rPr>
          <w:rFonts w:hint="eastAsia" w:ascii="宋体" w:hAnsi="宋体" w:cs="宋体"/>
          <w:sz w:val="24"/>
          <w:szCs w:val="24"/>
          <w:lang w:val="en-US" w:eastAsia="zh-CN"/>
        </w:rPr>
        <w:t>另两</w:t>
      </w:r>
      <w:r>
        <w:rPr>
          <w:rFonts w:hint="eastAsia" w:ascii="宋体" w:hAnsi="宋体" w:cs="宋体"/>
          <w:sz w:val="24"/>
          <w:szCs w:val="24"/>
        </w:rPr>
        <w:t>方的，因此产生的责任和损失应由变更方承担。</w:t>
      </w:r>
      <w:r>
        <w:rPr>
          <w:rFonts w:hint="eastAsia" w:ascii="宋体" w:hAnsi="宋体" w:cs="宋体"/>
          <w:sz w:val="24"/>
          <w:szCs w:val="24"/>
          <w:lang w:val="en-US" w:eastAsia="zh-CN"/>
        </w:rPr>
        <w:t>协议</w:t>
      </w:r>
      <w:r>
        <w:rPr>
          <w:rFonts w:hint="eastAsia" w:ascii="宋体" w:hAnsi="宋体" w:cs="宋体"/>
          <w:sz w:val="24"/>
          <w:szCs w:val="24"/>
        </w:rPr>
        <w:t>一方及司法机关按约定的地址和电话将信函、通知、材料</w:t>
      </w:r>
      <w:r>
        <w:rPr>
          <w:rFonts w:hint="eastAsia" w:ascii="宋体" w:hAnsi="宋体" w:cs="宋体"/>
          <w:sz w:val="24"/>
          <w:szCs w:val="24"/>
          <w:lang w:eastAsia="zh-CN"/>
        </w:rPr>
        <w:t>、</w:t>
      </w:r>
      <w:r>
        <w:rPr>
          <w:rFonts w:hint="eastAsia" w:ascii="宋体" w:hAnsi="宋体" w:cs="宋体"/>
          <w:sz w:val="24"/>
          <w:szCs w:val="24"/>
        </w:rPr>
        <w:t>法律文</w:t>
      </w:r>
      <w:r>
        <w:rPr>
          <w:rFonts w:hint="eastAsia" w:ascii="宋体" w:hAnsi="宋体" w:cs="宋体"/>
          <w:sz w:val="24"/>
          <w:szCs w:val="24"/>
          <w:lang w:val="en-US" w:eastAsia="zh-CN"/>
        </w:rPr>
        <w:t>书</w:t>
      </w:r>
      <w:r>
        <w:rPr>
          <w:rFonts w:hint="eastAsia" w:ascii="宋体" w:hAnsi="宋体" w:cs="宋体"/>
          <w:sz w:val="24"/>
          <w:szCs w:val="24"/>
        </w:rPr>
        <w:t>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w:t>
      </w:r>
      <w:r>
        <w:rPr>
          <w:rFonts w:hint="eastAsia" w:ascii="宋体" w:hAnsi="宋体" w:cs="宋体"/>
          <w:sz w:val="24"/>
          <w:szCs w:val="24"/>
          <w:lang w:val="en-US" w:eastAsia="zh-CN"/>
        </w:rPr>
        <w:t>按约定</w:t>
      </w:r>
      <w:r>
        <w:rPr>
          <w:rFonts w:hint="eastAsia" w:ascii="宋体" w:hAnsi="宋体" w:cs="宋体"/>
          <w:sz w:val="24"/>
          <w:szCs w:val="24"/>
        </w:rPr>
        <w:t>正确填写地址且未被系统退回的情况下，即视为送达。</w:t>
      </w:r>
    </w:p>
    <w:p>
      <w:pPr>
        <w:jc w:val="center"/>
        <w:rPr>
          <w:rFonts w:cs="宋体"/>
          <w:sz w:val="24"/>
          <w:szCs w:val="24"/>
          <w:lang w:eastAsia="zh-CN"/>
        </w:rPr>
      </w:pPr>
      <w:r>
        <w:rPr>
          <w:rFonts w:hint="eastAsia" w:cs="宋体"/>
          <w:sz w:val="24"/>
          <w:szCs w:val="24"/>
          <w:lang w:eastAsia="zh-CN"/>
        </w:rPr>
        <w:t>（</w:t>
      </w:r>
      <w:r>
        <w:rPr>
          <w:rFonts w:hint="eastAsia" w:cs="宋体"/>
          <w:sz w:val="24"/>
          <w:szCs w:val="24"/>
          <w:lang w:val="en-US" w:eastAsia="zh-CN"/>
        </w:rPr>
        <w:t>以下无正文</w:t>
      </w:r>
      <w:r>
        <w:rPr>
          <w:rFonts w:hint="eastAsia" w:cs="宋体"/>
          <w:sz w:val="24"/>
          <w:szCs w:val="24"/>
          <w:lang w:eastAsia="zh-CN"/>
        </w:rPr>
        <w:t>）</w:t>
      </w:r>
      <w:r>
        <w:rPr>
          <w:rFonts w:hint="eastAsia" w:cs="宋体"/>
          <w:sz w:val="24"/>
          <w:szCs w:val="24"/>
          <w:lang w:eastAsia="zh-CN"/>
        </w:rPr>
        <w:br w:type="page"/>
      </w:r>
    </w:p>
    <w:p>
      <w:pPr>
        <w:spacing w:after="120" w:afterLines="50" w:line="560" w:lineRule="exact"/>
        <w:ind w:firstLine="480" w:firstLineChars="200"/>
        <w:rPr>
          <w:rFonts w:cs="宋体"/>
          <w:sz w:val="24"/>
          <w:szCs w:val="24"/>
          <w:lang w:eastAsia="zh-CN"/>
        </w:rPr>
      </w:pPr>
    </w:p>
    <w:p>
      <w:pPr>
        <w:jc w:val="center"/>
        <w:outlineLvl w:val="0"/>
        <w:rPr>
          <w:rFonts w:ascii="宋体" w:hAnsi="宋体"/>
          <w:b/>
          <w:sz w:val="36"/>
          <w:szCs w:val="36"/>
          <w:lang w:eastAsia="zh-CN"/>
        </w:rPr>
      </w:pPr>
      <w:r>
        <w:rPr>
          <w:rFonts w:ascii="宋体" w:hAnsi="宋体"/>
          <w:b/>
          <w:sz w:val="36"/>
          <w:szCs w:val="36"/>
          <w:lang w:eastAsia="zh-CN"/>
        </w:rPr>
        <w:t>临床试</w:t>
      </w:r>
      <w:r>
        <w:rPr>
          <w:rFonts w:hAnsi="宋体"/>
          <w:b/>
          <w:sz w:val="36"/>
          <w:szCs w:val="36"/>
          <w:lang w:eastAsia="zh-CN"/>
        </w:rPr>
        <w:t>验</w:t>
      </w:r>
      <w:r>
        <w:rPr>
          <w:b/>
          <w:sz w:val="36"/>
          <w:szCs w:val="36"/>
          <w:lang w:eastAsia="zh-CN"/>
        </w:rPr>
        <w:t>CRC</w:t>
      </w:r>
      <w:r>
        <w:rPr>
          <w:rFonts w:hint="eastAsia" w:ascii="宋体" w:hAnsi="宋体"/>
          <w:b/>
          <w:sz w:val="36"/>
          <w:szCs w:val="36"/>
          <w:lang w:eastAsia="zh-CN"/>
        </w:rPr>
        <w:t>服务三方协议</w:t>
      </w:r>
      <w:r>
        <w:rPr>
          <w:rFonts w:ascii="宋体" w:hAnsi="宋体"/>
          <w:b/>
          <w:sz w:val="36"/>
          <w:szCs w:val="36"/>
          <w:lang w:eastAsia="zh-CN"/>
        </w:rPr>
        <w:t>签署页</w:t>
      </w:r>
    </w:p>
    <w:p>
      <w:pPr>
        <w:spacing w:after="120" w:afterLines="50" w:line="480" w:lineRule="auto"/>
        <w:ind w:firstLine="480" w:firstLineChars="200"/>
        <w:rPr>
          <w:rFonts w:ascii="宋体" w:hAnsi="宋体"/>
          <w:sz w:val="24"/>
          <w:szCs w:val="24"/>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甲方</w:t>
      </w:r>
      <w:r>
        <w:rPr>
          <w:rFonts w:ascii="宋体" w:hAnsi="宋体"/>
          <w:sz w:val="28"/>
          <w:szCs w:val="28"/>
          <w:lang w:eastAsia="zh-CN"/>
        </w:rPr>
        <w:t>：</w:t>
      </w:r>
      <w:r>
        <w:rPr>
          <w:rFonts w:hint="eastAsia"/>
          <w:color w:val="000000"/>
          <w:sz w:val="28"/>
          <w:szCs w:val="28"/>
          <w:lang w:eastAsia="zh-CN"/>
        </w:rPr>
        <w:t>XXXXXXXXXXX</w:t>
      </w:r>
      <w:r>
        <w:rPr>
          <w:color w:val="000000"/>
          <w:sz w:val="28"/>
          <w:szCs w:val="28"/>
          <w:lang w:eastAsia="zh-CN"/>
        </w:rPr>
        <w:t>（</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乙方</w:t>
      </w:r>
      <w:r>
        <w:rPr>
          <w:rFonts w:ascii="宋体" w:hAnsi="宋体"/>
          <w:sz w:val="28"/>
          <w:szCs w:val="28"/>
          <w:lang w:eastAsia="zh-CN"/>
        </w:rPr>
        <w:t>：</w:t>
      </w:r>
      <w:r>
        <w:rPr>
          <w:rFonts w:hint="eastAsia" w:ascii="宋体" w:hAnsi="宋体"/>
          <w:sz w:val="28"/>
          <w:szCs w:val="28"/>
          <w:lang w:eastAsia="zh-CN"/>
        </w:rPr>
        <w:t>深圳市第三人民医院</w:t>
      </w:r>
      <w:r>
        <w:rPr>
          <w:rFonts w:ascii="宋体" w:hAnsi="宋体"/>
          <w:sz w:val="28"/>
          <w:szCs w:val="28"/>
          <w:lang w:eastAsia="zh-CN"/>
        </w:rPr>
        <w:t xml:space="preserve">（盖章） </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w:t>
      </w:r>
      <w:r>
        <w:rPr>
          <w:rFonts w:hint="eastAsia" w:ascii="宋体" w:hAnsi="宋体"/>
          <w:sz w:val="28"/>
          <w:szCs w:val="28"/>
          <w:lang w:eastAsia="zh-CN"/>
        </w:rPr>
        <w:t>/授权代表</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主要研究者：</w:t>
      </w:r>
      <w:r>
        <w:rPr>
          <w:rFonts w:ascii="宋体" w:hAnsi="宋体"/>
          <w:sz w:val="28"/>
          <w:szCs w:val="28"/>
          <w:lang w:eastAsia="zh-CN"/>
        </w:rPr>
        <w:t>（签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spacing w:after="120" w:afterLines="50" w:line="480" w:lineRule="auto"/>
        <w:ind w:firstLine="560" w:firstLineChars="200"/>
        <w:rPr>
          <w:rFonts w:ascii="宋体" w:hAnsi="宋体"/>
          <w:sz w:val="28"/>
          <w:szCs w:val="28"/>
          <w:lang w:eastAsia="zh-CN"/>
        </w:rPr>
      </w:pP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丙方：</w:t>
      </w:r>
      <w:r>
        <w:rPr>
          <w:rFonts w:hint="eastAsia"/>
          <w:color w:val="000000"/>
          <w:sz w:val="28"/>
          <w:szCs w:val="28"/>
          <w:lang w:eastAsia="zh-CN"/>
        </w:rPr>
        <w:t>XXXXXXXXXXX</w:t>
      </w:r>
      <w:r>
        <w:rPr>
          <w:rFonts w:ascii="宋体" w:hAnsi="宋体"/>
          <w:sz w:val="28"/>
          <w:szCs w:val="28"/>
          <w:lang w:eastAsia="zh-CN"/>
        </w:rPr>
        <w:t>（盖章）</w:t>
      </w:r>
    </w:p>
    <w:p>
      <w:pPr>
        <w:spacing w:after="120" w:afterLines="50" w:line="480" w:lineRule="auto"/>
        <w:ind w:firstLine="560" w:firstLineChars="200"/>
        <w:rPr>
          <w:rFonts w:ascii="宋体" w:hAnsi="宋体"/>
          <w:sz w:val="28"/>
          <w:szCs w:val="28"/>
          <w:lang w:eastAsia="zh-CN"/>
        </w:rPr>
      </w:pPr>
      <w:r>
        <w:rPr>
          <w:rFonts w:ascii="宋体" w:hAnsi="宋体"/>
          <w:sz w:val="28"/>
          <w:szCs w:val="28"/>
          <w:lang w:eastAsia="zh-CN"/>
        </w:rPr>
        <w:t>法定代表人/委托代理人：（签</w:t>
      </w:r>
      <w:r>
        <w:rPr>
          <w:rFonts w:hint="eastAsia" w:ascii="宋体" w:hAnsi="宋体"/>
          <w:sz w:val="28"/>
          <w:szCs w:val="28"/>
          <w:lang w:eastAsia="zh-CN"/>
        </w:rPr>
        <w:t>字</w:t>
      </w:r>
      <w:r>
        <w:rPr>
          <w:rFonts w:ascii="宋体" w:hAnsi="宋体"/>
          <w:sz w:val="28"/>
          <w:szCs w:val="28"/>
          <w:lang w:eastAsia="zh-CN"/>
        </w:rPr>
        <w:t>）</w:t>
      </w:r>
    </w:p>
    <w:p>
      <w:pPr>
        <w:spacing w:after="120" w:afterLines="50" w:line="480" w:lineRule="auto"/>
        <w:ind w:firstLine="560" w:firstLineChars="200"/>
        <w:rPr>
          <w:rFonts w:ascii="宋体" w:hAnsi="宋体"/>
          <w:sz w:val="28"/>
          <w:szCs w:val="28"/>
          <w:lang w:eastAsia="zh-CN"/>
        </w:rPr>
      </w:pPr>
      <w:r>
        <w:rPr>
          <w:rFonts w:hint="eastAsia" w:ascii="宋体" w:hAnsi="宋体"/>
          <w:sz w:val="28"/>
          <w:szCs w:val="28"/>
          <w:lang w:eastAsia="zh-CN"/>
        </w:rPr>
        <w:t>日     期：</w:t>
      </w:r>
    </w:p>
    <w:p>
      <w:pPr>
        <w:outlineLvl w:val="0"/>
        <w:rPr>
          <w:rFonts w:ascii="宋体" w:hAnsi="宋体" w:cs="宋体"/>
          <w:sz w:val="28"/>
          <w:szCs w:val="28"/>
          <w:lang w:eastAsia="zh-CN"/>
        </w:rPr>
      </w:pPr>
      <w:r>
        <w:rPr>
          <w:rFonts w:hint="eastAsia" w:ascii="宋体" w:hAnsi="宋体" w:cs="宋体"/>
          <w:b/>
          <w:sz w:val="28"/>
          <w:szCs w:val="28"/>
          <w:lang w:eastAsia="zh-CN"/>
        </w:rPr>
        <w:t>附件一：</w:t>
      </w:r>
      <w:r>
        <w:rPr>
          <w:b/>
          <w:sz w:val="28"/>
          <w:szCs w:val="28"/>
          <w:lang w:eastAsia="zh-CN"/>
        </w:rPr>
        <w:t xml:space="preserve"> CRC</w:t>
      </w:r>
      <w:r>
        <w:rPr>
          <w:rFonts w:hint="eastAsia" w:ascii="宋体" w:hAnsi="宋体" w:cs="宋体"/>
          <w:b/>
          <w:sz w:val="28"/>
          <w:szCs w:val="28"/>
          <w:lang w:eastAsia="zh-CN"/>
        </w:rPr>
        <w:t>工作职责</w:t>
      </w:r>
    </w:p>
    <w:tbl>
      <w:tblPr>
        <w:tblStyle w:val="23"/>
        <w:tblW w:w="9924" w:type="dxa"/>
        <w:tblInd w:w="0" w:type="dxa"/>
        <w:tblLayout w:type="fixed"/>
        <w:tblCellMar>
          <w:top w:w="0" w:type="dxa"/>
          <w:left w:w="108" w:type="dxa"/>
          <w:bottom w:w="0" w:type="dxa"/>
          <w:right w:w="108" w:type="dxa"/>
        </w:tblCellMar>
      </w:tblPr>
      <w:tblGrid>
        <w:gridCol w:w="1560"/>
        <w:gridCol w:w="993"/>
        <w:gridCol w:w="992"/>
        <w:gridCol w:w="5386"/>
        <w:gridCol w:w="993"/>
      </w:tblGrid>
      <w:tr>
        <w:tblPrEx>
          <w:tblCellMar>
            <w:top w:w="0" w:type="dxa"/>
            <w:left w:w="108" w:type="dxa"/>
            <w:bottom w:w="0" w:type="dxa"/>
            <w:right w:w="108" w:type="dxa"/>
          </w:tblCellMar>
        </w:tblPrEx>
        <w:trPr>
          <w:trHeight w:val="834" w:hRule="atLeast"/>
        </w:trPr>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sz w:val="24"/>
                <w:szCs w:val="24"/>
                <w:lang w:eastAsia="zh-CN"/>
              </w:rPr>
            </w:pPr>
            <w:r>
              <w:rPr>
                <w:rFonts w:hint="eastAsia" w:ascii="宋体" w:hAnsi="宋体"/>
                <w:b/>
                <w:bCs/>
                <w:sz w:val="24"/>
                <w:szCs w:val="24"/>
              </w:rPr>
              <w:t>研究题目</w:t>
            </w:r>
            <w:r>
              <w:rPr>
                <w:rFonts w:hint="eastAsia" w:ascii="宋体" w:hAnsi="宋体"/>
                <w:b/>
                <w:bCs/>
                <w:sz w:val="24"/>
                <w:szCs w:val="24"/>
                <w:lang w:eastAsia="zh-CN"/>
              </w:rPr>
              <w:t>：</w:t>
            </w:r>
          </w:p>
        </w:tc>
        <w:tc>
          <w:tcPr>
            <w:tcW w:w="8364" w:type="dxa"/>
            <w:gridSpan w:val="4"/>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rPr>
                <w:rFonts w:ascii="宋体" w:hAnsi="宋体"/>
                <w:b/>
                <w:bCs/>
                <w:sz w:val="24"/>
                <w:szCs w:val="24"/>
                <w:lang w:eastAsia="zh-CN"/>
              </w:rPr>
            </w:pPr>
          </w:p>
        </w:tc>
      </w:tr>
      <w:tr>
        <w:tblPrEx>
          <w:tblCellMar>
            <w:top w:w="0" w:type="dxa"/>
            <w:left w:w="108" w:type="dxa"/>
            <w:bottom w:w="0" w:type="dxa"/>
            <w:right w:w="108" w:type="dxa"/>
          </w:tblCellMar>
        </w:tblPrEx>
        <w:trPr>
          <w:trHeight w:val="255" w:hRule="atLeast"/>
        </w:trPr>
        <w:tc>
          <w:tcPr>
            <w:tcW w:w="1560" w:type="dxa"/>
            <w:tcBorders>
              <w:top w:val="nil"/>
              <w:left w:val="single" w:color="auto" w:sz="4" w:space="0"/>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编号</w:t>
            </w:r>
          </w:p>
        </w:tc>
        <w:tc>
          <w:tcPr>
            <w:tcW w:w="1985" w:type="dxa"/>
            <w:gridSpan w:val="2"/>
            <w:tcBorders>
              <w:top w:val="single" w:color="auto" w:sz="4" w:space="0"/>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5386"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工作内容</w:t>
            </w:r>
          </w:p>
        </w:tc>
        <w:tc>
          <w:tcPr>
            <w:tcW w:w="993" w:type="dxa"/>
            <w:tcBorders>
              <w:top w:val="nil"/>
              <w:left w:val="nil"/>
              <w:bottom w:val="single" w:color="auto" w:sz="4" w:space="0"/>
              <w:right w:val="single" w:color="auto" w:sz="4" w:space="0"/>
            </w:tcBorders>
            <w:shd w:val="clear" w:color="auto" w:fill="FFFFFF"/>
            <w:vAlign w:val="center"/>
          </w:tcPr>
          <w:p>
            <w:pPr>
              <w:widowControl/>
              <w:spacing w:before="100" w:beforeAutospacing="1" w:after="100" w:afterAutospacing="1"/>
              <w:jc w:val="center"/>
              <w:rPr>
                <w:rFonts w:ascii="宋体" w:hAnsi="宋体"/>
                <w:b/>
                <w:bCs/>
                <w:color w:val="000000"/>
                <w:sz w:val="24"/>
                <w:szCs w:val="24"/>
              </w:rPr>
            </w:pPr>
            <w:r>
              <w:rPr>
                <w:rFonts w:ascii="宋体" w:hAnsi="宋体"/>
                <w:b/>
                <w:bCs/>
                <w:color w:val="000000"/>
                <w:sz w:val="24"/>
                <w:szCs w:val="24"/>
              </w:rPr>
              <w:t>CRC</w:t>
            </w:r>
            <w:r>
              <w:rPr>
                <w:rFonts w:hint="eastAsia" w:ascii="宋体" w:hAnsi="宋体"/>
                <w:b/>
                <w:bCs/>
                <w:color w:val="000000"/>
                <w:sz w:val="24"/>
                <w:szCs w:val="24"/>
              </w:rPr>
              <w:t>职责（是</w:t>
            </w:r>
            <w:r>
              <w:rPr>
                <w:rFonts w:ascii="宋体" w:hAnsi="宋体"/>
                <w:b/>
                <w:bCs/>
                <w:color w:val="000000"/>
                <w:sz w:val="24"/>
                <w:szCs w:val="24"/>
              </w:rPr>
              <w:t>/</w:t>
            </w:r>
            <w:r>
              <w:rPr>
                <w:rFonts w:hint="eastAsia" w:ascii="宋体" w:hAnsi="宋体"/>
                <w:b/>
                <w:bCs/>
                <w:color w:val="000000"/>
                <w:sz w:val="24"/>
                <w:szCs w:val="24"/>
              </w:rPr>
              <w:t>否）</w:t>
            </w:r>
          </w:p>
        </w:tc>
      </w:tr>
      <w:tr>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1</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lang w:eastAsia="zh-CN"/>
              </w:rPr>
            </w:pPr>
            <w:r>
              <w:rPr>
                <w:rFonts w:hint="eastAsia" w:ascii="宋体" w:hAnsi="宋体" w:cs="宋体"/>
                <w:b/>
                <w:bCs/>
                <w:color w:val="000000"/>
                <w:sz w:val="24"/>
                <w:szCs w:val="24"/>
                <w:lang w:eastAsia="zh-CN"/>
              </w:rPr>
              <w:t>伦理和机构沟通</w:t>
            </w:r>
            <w:r>
              <w:rPr>
                <w:rFonts w:hint="eastAsia" w:ascii="宋体" w:hAnsi="宋体" w:cs="宋体"/>
                <w:b/>
                <w:bCs/>
                <w:color w:val="000000"/>
                <w:sz w:val="24"/>
                <w:szCs w:val="24"/>
                <w:lang w:eastAsia="zh-CN"/>
              </w:rPr>
              <w:br w:type="textWrapping"/>
            </w:r>
            <w:r>
              <w:rPr>
                <w:rFonts w:hint="eastAsia" w:ascii="宋体" w:hAnsi="宋体" w:cs="宋体"/>
                <w:b/>
                <w:bCs/>
                <w:color w:val="000000"/>
                <w:sz w:val="24"/>
                <w:szCs w:val="24"/>
                <w:lang w:eastAsia="zh-CN"/>
              </w:rPr>
              <w:t>（启动前）</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w:t>
            </w:r>
            <w:r>
              <w:rPr>
                <w:rFonts w:hint="eastAsia"/>
                <w:color w:val="000000"/>
                <w:sz w:val="24"/>
                <w:szCs w:val="24"/>
                <w:lang w:eastAsia="zh-CN"/>
              </w:rPr>
              <w:t>协助研究者完成伦理备案资料的递交前准备和递交</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1.2</w:t>
            </w:r>
            <w:r>
              <w:rPr>
                <w:rFonts w:hint="eastAsia"/>
                <w:color w:val="000000"/>
                <w:sz w:val="24"/>
                <w:szCs w:val="24"/>
                <w:lang w:eastAsia="zh-CN"/>
              </w:rPr>
              <w:t>跟进伦理上会及审评情况，及时</w:t>
            </w:r>
            <w:r>
              <w:rPr>
                <w:color w:val="000000"/>
                <w:sz w:val="24"/>
                <w:szCs w:val="24"/>
                <w:lang w:eastAsia="zh-CN"/>
              </w:rPr>
              <w:t>告知研究者、合同研究组织（CRO）</w:t>
            </w:r>
            <w:r>
              <w:rPr>
                <w:rFonts w:hint="eastAsia"/>
                <w:color w:val="000000"/>
                <w:sz w:val="24"/>
                <w:szCs w:val="24"/>
                <w:lang w:eastAsia="zh-CN"/>
              </w:rPr>
              <w:t>审评</w:t>
            </w:r>
            <w:r>
              <w:rPr>
                <w:color w:val="000000"/>
                <w:sz w:val="24"/>
                <w:szCs w:val="24"/>
                <w:lang w:eastAsia="zh-CN"/>
              </w:rPr>
              <w:t>结果，并保存相关文件；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1.3</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1.4</w:t>
            </w:r>
            <w:r>
              <w:rPr>
                <w:rFonts w:hint="eastAsia"/>
                <w:color w:val="000000"/>
                <w:sz w:val="24"/>
                <w:szCs w:val="24"/>
                <w:lang w:eastAsia="zh-CN"/>
              </w:rPr>
              <w:t>中心机构要求相关工作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2</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分中心启动会</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2.1</w:t>
            </w:r>
            <w:r>
              <w:rPr>
                <w:rFonts w:hint="eastAsia"/>
                <w:color w:val="000000"/>
                <w:sz w:val="24"/>
                <w:szCs w:val="24"/>
                <w:lang w:eastAsia="zh-CN"/>
              </w:rPr>
              <w:t>协助监查员（</w:t>
            </w:r>
            <w:r>
              <w:rPr>
                <w:color w:val="000000"/>
                <w:sz w:val="24"/>
                <w:szCs w:val="24"/>
                <w:lang w:eastAsia="zh-CN"/>
              </w:rPr>
              <w:t>CRA</w:t>
            </w:r>
            <w:r>
              <w:rPr>
                <w:rFonts w:hint="eastAsia"/>
                <w:color w:val="000000"/>
                <w:sz w:val="24"/>
                <w:szCs w:val="24"/>
                <w:lang w:eastAsia="zh-CN"/>
              </w:rPr>
              <w:t>）组织召开分中心启动会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2.2</w:t>
            </w:r>
            <w:r>
              <w:rPr>
                <w:rFonts w:hint="eastAsia"/>
                <w:color w:val="000000"/>
                <w:sz w:val="24"/>
                <w:szCs w:val="24"/>
                <w:lang w:eastAsia="zh-CN"/>
              </w:rPr>
              <w:t>分中心启动会前的准备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2.3</w:t>
            </w:r>
            <w:r>
              <w:rPr>
                <w:rFonts w:hint="eastAsia"/>
                <w:color w:val="000000"/>
                <w:sz w:val="24"/>
                <w:szCs w:val="24"/>
                <w:lang w:eastAsia="zh-CN"/>
              </w:rPr>
              <w:t>协助CRA收集研究者</w:t>
            </w:r>
            <w:r>
              <w:rPr>
                <w:color w:val="000000"/>
                <w:sz w:val="24"/>
                <w:szCs w:val="24"/>
                <w:lang w:eastAsia="zh-CN"/>
              </w:rPr>
              <w:t>个人简历</w:t>
            </w:r>
            <w:r>
              <w:rPr>
                <w:rFonts w:hint="eastAsia"/>
                <w:color w:val="000000"/>
                <w:sz w:val="24"/>
                <w:szCs w:val="24"/>
                <w:lang w:eastAsia="zh-CN"/>
              </w:rPr>
              <w:t>（</w:t>
            </w:r>
            <w:r>
              <w:rPr>
                <w:color w:val="000000"/>
                <w:sz w:val="24"/>
                <w:szCs w:val="24"/>
                <w:lang w:eastAsia="zh-CN"/>
              </w:rPr>
              <w:t>CV</w:t>
            </w:r>
            <w:r>
              <w:rPr>
                <w:rFonts w:hint="eastAsia"/>
                <w:color w:val="000000"/>
                <w:sz w:val="24"/>
                <w:szCs w:val="24"/>
                <w:lang w:eastAsia="zh-CN"/>
              </w:rPr>
              <w:t>）及相关资质证明</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2.4</w:t>
            </w:r>
            <w:r>
              <w:rPr>
                <w:rFonts w:hint="eastAsia"/>
                <w:color w:val="000000"/>
                <w:sz w:val="24"/>
                <w:szCs w:val="24"/>
                <w:lang w:eastAsia="zh-CN"/>
              </w:rPr>
              <w:t>协助CRA收集研究者培训记录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 xml:space="preserve">2.5 </w:t>
            </w:r>
            <w:r>
              <w:rPr>
                <w:rFonts w:hint="eastAsia"/>
                <w:color w:val="000000"/>
                <w:sz w:val="24"/>
                <w:szCs w:val="24"/>
                <w:lang w:eastAsia="zh-CN"/>
              </w:rPr>
              <w:t>协助CRA收集授权表和签名样章</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2.6</w:t>
            </w:r>
            <w:r>
              <w:rPr>
                <w:rFonts w:hint="eastAsia"/>
                <w:color w:val="000000"/>
                <w:sz w:val="24"/>
                <w:szCs w:val="24"/>
                <w:lang w:eastAsia="zh-CN"/>
              </w:rPr>
              <w:t>协助CRA收集实验室资质证明</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2.7</w:t>
            </w:r>
            <w:r>
              <w:rPr>
                <w:rFonts w:hint="eastAsia"/>
                <w:color w:val="000000"/>
                <w:sz w:val="24"/>
                <w:szCs w:val="24"/>
                <w:lang w:eastAsia="zh-CN"/>
              </w:rPr>
              <w:t>协助研究者测试研究系统相关账号</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2.8</w:t>
            </w:r>
            <w:r>
              <w:rPr>
                <w:rFonts w:hint="eastAsia"/>
                <w:color w:val="000000"/>
                <w:sz w:val="24"/>
                <w:szCs w:val="24"/>
                <w:lang w:eastAsia="zh-CN"/>
              </w:rPr>
              <w:t>与分中心启动会相关的其他工作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49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3</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b/>
                <w:bCs/>
                <w:color w:val="000000"/>
                <w:sz w:val="24"/>
                <w:szCs w:val="24"/>
              </w:rPr>
            </w:pPr>
            <w:r>
              <w:rPr>
                <w:rFonts w:hint="eastAsia" w:ascii="宋体" w:hAnsi="宋体"/>
                <w:b/>
                <w:bCs/>
                <w:color w:val="000000"/>
                <w:sz w:val="24"/>
                <w:szCs w:val="24"/>
              </w:rPr>
              <w:t>伦理相关工作</w:t>
            </w:r>
            <w:r>
              <w:rPr>
                <w:rFonts w:hint="eastAsia" w:ascii="宋体" w:hAnsi="宋体"/>
                <w:b/>
                <w:bCs/>
                <w:color w:val="000000"/>
                <w:sz w:val="24"/>
                <w:szCs w:val="24"/>
              </w:rPr>
              <w:br w:type="textWrapping"/>
            </w:r>
            <w:r>
              <w:rPr>
                <w:rFonts w:ascii="宋体" w:hAnsi="宋体"/>
                <w:b/>
                <w:bCs/>
                <w:color w:val="000000"/>
                <w:sz w:val="24"/>
                <w:szCs w:val="24"/>
              </w:rPr>
              <w:t>(</w:t>
            </w:r>
            <w:r>
              <w:rPr>
                <w:rFonts w:hint="eastAsia" w:ascii="宋体" w:hAnsi="宋体"/>
                <w:b/>
                <w:bCs/>
                <w:color w:val="000000"/>
                <w:sz w:val="24"/>
                <w:szCs w:val="24"/>
              </w:rPr>
              <w:t>启动后</w:t>
            </w:r>
            <w:r>
              <w:rPr>
                <w:rFonts w:ascii="宋体" w:hAnsi="宋体"/>
                <w:b/>
                <w:bCs/>
                <w:color w:val="000000"/>
                <w:sz w:val="24"/>
                <w:szCs w:val="24"/>
              </w:rPr>
              <w:t>)</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3.1</w:t>
            </w:r>
            <w:r>
              <w:rPr>
                <w:rFonts w:hint="eastAsia"/>
                <w:color w:val="000000"/>
                <w:sz w:val="24"/>
                <w:szCs w:val="24"/>
                <w:lang w:eastAsia="zh-CN"/>
              </w:rPr>
              <w:t>外院发生</w:t>
            </w:r>
            <w:r>
              <w:rPr>
                <w:color w:val="000000"/>
                <w:sz w:val="24"/>
                <w:szCs w:val="24"/>
                <w:lang w:eastAsia="zh-CN"/>
              </w:rPr>
              <w:t>严重不良事件</w:t>
            </w:r>
            <w:r>
              <w:rPr>
                <w:rFonts w:hint="eastAsia"/>
                <w:color w:val="000000"/>
                <w:sz w:val="24"/>
                <w:szCs w:val="24"/>
                <w:lang w:eastAsia="zh-CN"/>
              </w:rPr>
              <w:t>（</w:t>
            </w:r>
            <w:r>
              <w:rPr>
                <w:color w:val="000000"/>
                <w:sz w:val="24"/>
                <w:szCs w:val="24"/>
                <w:lang w:eastAsia="zh-CN"/>
              </w:rPr>
              <w:t>SAE</w:t>
            </w:r>
            <w:r>
              <w:rPr>
                <w:rFonts w:hint="eastAsia"/>
                <w:color w:val="000000"/>
                <w:sz w:val="24"/>
                <w:szCs w:val="24"/>
                <w:lang w:eastAsia="zh-CN"/>
              </w:rPr>
              <w:t>）、项目相关文件协助研究者递交伦理备案；</w:t>
            </w:r>
            <w:r>
              <w:rPr>
                <w:color w:val="000000"/>
                <w:sz w:val="24"/>
                <w:szCs w:val="24"/>
                <w:lang w:eastAsia="zh-CN"/>
              </w:rPr>
              <w:t xml:space="preserve"> </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b/>
                <w:bCs/>
                <w:color w:val="000000"/>
                <w:sz w:val="24"/>
                <w:szCs w:val="24"/>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3.2</w:t>
            </w:r>
            <w:r>
              <w:rPr>
                <w:rFonts w:hint="eastAsia"/>
                <w:color w:val="000000"/>
                <w:sz w:val="24"/>
                <w:szCs w:val="24"/>
                <w:lang w:eastAsia="zh-CN"/>
              </w:rPr>
              <w:t>与伦理相关的其他工作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bCs/>
                <w:color w:val="000000"/>
                <w:sz w:val="24"/>
                <w:szCs w:val="24"/>
              </w:rPr>
            </w:pPr>
            <w:r>
              <w:rPr>
                <w:b/>
                <w:bCs/>
                <w:color w:val="000000"/>
                <w:sz w:val="24"/>
                <w:szCs w:val="24"/>
              </w:rPr>
              <w:t>4</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受试者管理</w:t>
            </w: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受试者招募</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w:t>
            </w:r>
            <w:r>
              <w:rPr>
                <w:rFonts w:hint="eastAsia"/>
                <w:color w:val="000000"/>
                <w:sz w:val="24"/>
                <w:szCs w:val="24"/>
                <w:lang w:eastAsia="zh-CN"/>
              </w:rPr>
              <w:t>受试者招募（科室内招募）</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w:t>
            </w:r>
            <w:r>
              <w:rPr>
                <w:rFonts w:hint="eastAsia"/>
                <w:color w:val="000000"/>
                <w:sz w:val="24"/>
                <w:szCs w:val="24"/>
                <w:lang w:eastAsia="zh-CN"/>
              </w:rPr>
              <w:t>与受试者招募相关的其他工作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受试者初筛</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w:t>
            </w:r>
            <w:r>
              <w:rPr>
                <w:rFonts w:hint="eastAsia"/>
                <w:color w:val="000000"/>
                <w:sz w:val="24"/>
                <w:szCs w:val="24"/>
                <w:lang w:eastAsia="zh-CN"/>
              </w:rPr>
              <w:t>潜在受试者筛选</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4.4</w:t>
            </w:r>
            <w:r>
              <w:rPr>
                <w:rFonts w:hint="eastAsia"/>
                <w:color w:val="000000"/>
                <w:sz w:val="24"/>
                <w:szCs w:val="24"/>
                <w:lang w:eastAsia="zh-CN"/>
              </w:rPr>
              <w:t>入排标准初步核对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4.5</w:t>
            </w:r>
            <w:r>
              <w:rPr>
                <w:rFonts w:hint="eastAsia"/>
                <w:color w:val="000000"/>
                <w:sz w:val="24"/>
                <w:szCs w:val="24"/>
                <w:lang w:eastAsia="zh-CN"/>
              </w:rPr>
              <w:t>与受试者初筛相关的其他工作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知情同意</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4.6</w:t>
            </w:r>
            <w:r>
              <w:rPr>
                <w:rFonts w:hint="eastAsia"/>
                <w:color w:val="000000"/>
                <w:sz w:val="24"/>
                <w:szCs w:val="24"/>
                <w:lang w:eastAsia="zh-CN"/>
              </w:rPr>
              <w:t>协助进行知情同意</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4.7</w:t>
            </w:r>
            <w:r>
              <w:rPr>
                <w:rFonts w:hint="eastAsia"/>
                <w:color w:val="000000"/>
                <w:sz w:val="24"/>
                <w:szCs w:val="24"/>
                <w:lang w:eastAsia="zh-CN"/>
              </w:rPr>
              <w:t>核对知情同意书签署情况</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lang w:eastAsia="zh-CN"/>
              </w:rPr>
            </w:pPr>
            <w:r>
              <w:rPr>
                <w:rFonts w:hint="eastAsia" w:ascii="宋体" w:hAnsi="宋体" w:cs="宋体"/>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4.8</w:t>
            </w:r>
            <w:r>
              <w:rPr>
                <w:rFonts w:hint="eastAsia"/>
                <w:color w:val="000000"/>
                <w:sz w:val="24"/>
                <w:szCs w:val="24"/>
                <w:lang w:eastAsia="zh-CN"/>
              </w:rPr>
              <w:t>与知情同意相关的其他工作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受试者筛选</w:t>
            </w: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4.9</w:t>
            </w:r>
            <w:r>
              <w:rPr>
                <w:rFonts w:hint="eastAsia"/>
                <w:color w:val="000000"/>
                <w:sz w:val="24"/>
                <w:szCs w:val="24"/>
                <w:lang w:eastAsia="zh-CN"/>
              </w:rPr>
              <w:t>核对研究者所开据化验检查单是否齐全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4.10</w:t>
            </w:r>
            <w:r>
              <w:rPr>
                <w:rFonts w:hint="eastAsia"/>
                <w:color w:val="000000"/>
                <w:sz w:val="24"/>
                <w:szCs w:val="24"/>
                <w:lang w:eastAsia="zh-CN"/>
              </w:rPr>
              <w:t>指导、协助受试者完成相关筛选检查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000000" w:fill="FFFFFF"/>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4.11</w:t>
            </w:r>
            <w:r>
              <w:rPr>
                <w:rFonts w:hint="eastAsia"/>
                <w:color w:val="000000"/>
                <w:sz w:val="24"/>
                <w:szCs w:val="24"/>
                <w:lang w:eastAsia="zh-CN"/>
              </w:rPr>
              <w:t>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sz w:val="24"/>
                <w:szCs w:val="24"/>
              </w:rPr>
            </w:pPr>
            <w:r>
              <w:rPr>
                <w:rFonts w:hint="eastAsia" w:ascii="宋体" w:hAnsi="宋体" w:cs="宋体"/>
                <w:sz w:val="24"/>
                <w:szCs w:val="24"/>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4.12</w:t>
            </w:r>
            <w:r>
              <w:rPr>
                <w:rFonts w:hint="eastAsia"/>
                <w:color w:val="000000"/>
                <w:sz w:val="24"/>
                <w:szCs w:val="24"/>
                <w:lang w:eastAsia="zh-CN"/>
              </w:rPr>
              <w:t>入排标准详细核对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4.13</w:t>
            </w:r>
            <w:r>
              <w:rPr>
                <w:rFonts w:hint="eastAsia"/>
                <w:color w:val="000000"/>
                <w:sz w:val="24"/>
                <w:szCs w:val="24"/>
                <w:lang w:eastAsia="zh-CN"/>
              </w:rPr>
              <w:t>与受试者筛选相关的其他工作（</w:t>
            </w:r>
            <w:r>
              <w:rPr>
                <w:rFonts w:hint="eastAsia" w:ascii="宋体" w:hAnsi="宋体"/>
                <w:sz w:val="24"/>
                <w:szCs w:val="24"/>
                <w:lang w:eastAsia="zh-CN"/>
              </w:rPr>
              <w:t>医学判断相关工作除外）</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ascii="宋体" w:hAnsi="宋体" w:cs="宋体"/>
                <w:b/>
                <w:bCs/>
                <w:color w:val="000000"/>
                <w:sz w:val="24"/>
                <w:szCs w:val="24"/>
              </w:rPr>
              <w:t>受试者随机</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4.14</w:t>
            </w:r>
            <w:r>
              <w:rPr>
                <w:rFonts w:hint="eastAsia"/>
                <w:color w:val="000000"/>
                <w:sz w:val="24"/>
                <w:szCs w:val="24"/>
                <w:lang w:eastAsia="zh-CN"/>
              </w:rPr>
              <w:t>随机前准备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4.15</w:t>
            </w:r>
            <w:r>
              <w:rPr>
                <w:rFonts w:hint="eastAsia"/>
                <w:color w:val="000000"/>
                <w:sz w:val="24"/>
                <w:szCs w:val="24"/>
                <w:lang w:eastAsia="zh-CN"/>
              </w:rPr>
              <w:t>受试者随机</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否</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4.16</w:t>
            </w:r>
            <w:r>
              <w:rPr>
                <w:rFonts w:hint="eastAsia"/>
                <w:color w:val="000000"/>
                <w:sz w:val="24"/>
                <w:szCs w:val="24"/>
                <w:lang w:eastAsia="zh-CN"/>
              </w:rPr>
              <w:t>保存随机结果的记录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4.17</w:t>
            </w:r>
            <w:r>
              <w:rPr>
                <w:rFonts w:hint="eastAsia"/>
                <w:color w:val="000000"/>
                <w:sz w:val="24"/>
                <w:szCs w:val="24"/>
                <w:lang w:eastAsia="zh-CN"/>
              </w:rPr>
              <w:t>与受试者随机相关的其他工作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restart"/>
            <w:tcBorders>
              <w:top w:val="nil"/>
              <w:left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受试者随访</w:t>
            </w:r>
            <w:r>
              <w:rPr>
                <w:rFonts w:hint="eastAsia" w:ascii="宋体" w:hAnsi="宋体" w:cs="宋体"/>
                <w:b/>
                <w:bCs/>
                <w:color w:val="000000"/>
                <w:sz w:val="24"/>
                <w:szCs w:val="24"/>
              </w:rPr>
              <w:br w:type="textWrapping"/>
            </w:r>
          </w:p>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4.18</w:t>
            </w:r>
            <w:r>
              <w:rPr>
                <w:rFonts w:hint="eastAsia"/>
                <w:color w:val="000000"/>
                <w:sz w:val="24"/>
                <w:szCs w:val="24"/>
                <w:lang w:eastAsia="zh-CN"/>
              </w:rPr>
              <w:t>协助受试者按计划完成访视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4.19</w:t>
            </w:r>
            <w:r>
              <w:rPr>
                <w:rFonts w:hint="eastAsia"/>
                <w:color w:val="000000"/>
                <w:sz w:val="24"/>
                <w:szCs w:val="24"/>
                <w:lang w:eastAsia="zh-CN"/>
              </w:rPr>
              <w:t>受试者宣教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4.20</w:t>
            </w:r>
            <w:r>
              <w:rPr>
                <w:rFonts w:hint="eastAsia"/>
                <w:color w:val="000000"/>
                <w:sz w:val="24"/>
                <w:szCs w:val="24"/>
                <w:lang w:eastAsia="zh-CN"/>
              </w:rPr>
              <w:t>试验相关物资的发放</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4.21</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4.22</w:t>
            </w:r>
            <w:r>
              <w:rPr>
                <w:rFonts w:hint="eastAsia"/>
                <w:color w:val="000000"/>
                <w:sz w:val="24"/>
                <w:szCs w:val="24"/>
                <w:lang w:eastAsia="zh-CN"/>
              </w:rPr>
              <w:t>与受试者首次服药前随访相关的其他工作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4.23</w:t>
            </w:r>
            <w:r>
              <w:rPr>
                <w:rFonts w:hint="eastAsia"/>
                <w:color w:val="000000"/>
                <w:sz w:val="24"/>
                <w:szCs w:val="24"/>
                <w:lang w:eastAsia="zh-CN"/>
              </w:rPr>
              <w:t>联系受试者确定访视时间</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4.24</w:t>
            </w:r>
            <w:r>
              <w:rPr>
                <w:rFonts w:hint="eastAsia"/>
                <w:color w:val="000000"/>
                <w:sz w:val="24"/>
                <w:szCs w:val="24"/>
                <w:lang w:eastAsia="zh-CN"/>
              </w:rPr>
              <w:t>提醒研究者按照试验方案对受试者进行访视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4.25</w:t>
            </w:r>
            <w:r>
              <w:rPr>
                <w:rFonts w:hint="eastAsia"/>
                <w:color w:val="000000"/>
                <w:sz w:val="24"/>
                <w:szCs w:val="24"/>
                <w:lang w:eastAsia="zh-CN"/>
              </w:rPr>
              <w:t>随访前准备</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4.26</w:t>
            </w:r>
            <w:r>
              <w:rPr>
                <w:rFonts w:hint="eastAsia"/>
                <w:color w:val="000000"/>
                <w:sz w:val="24"/>
                <w:szCs w:val="24"/>
                <w:lang w:eastAsia="zh-CN"/>
              </w:rPr>
              <w:t>核对研究者所开据化验检查单是否齐全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4.27协助受试者完成各项试验所需化验和检查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4.28收集归档各项化验检查结果和门诊病历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4.29</w:t>
            </w:r>
            <w:r>
              <w:rPr>
                <w:rFonts w:hint="eastAsia"/>
                <w:color w:val="000000"/>
                <w:sz w:val="24"/>
                <w:szCs w:val="24"/>
                <w:lang w:eastAsia="zh-CN"/>
              </w:rPr>
              <w:t>协助研究者核对原始资料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4.30</w:t>
            </w:r>
            <w:r>
              <w:rPr>
                <w:rFonts w:hint="eastAsia"/>
                <w:color w:val="000000"/>
                <w:sz w:val="24"/>
                <w:szCs w:val="24"/>
                <w:lang w:eastAsia="zh-CN"/>
              </w:rPr>
              <w:t>协助研究者收集并追踪不良事件（</w:t>
            </w:r>
            <w:r>
              <w:rPr>
                <w:color w:val="000000"/>
                <w:sz w:val="24"/>
                <w:szCs w:val="24"/>
                <w:lang w:eastAsia="zh-CN"/>
              </w:rPr>
              <w:t>AE</w:t>
            </w:r>
            <w:r>
              <w:rPr>
                <w:rFonts w:hint="eastAsia"/>
                <w:color w:val="000000"/>
                <w:sz w:val="24"/>
                <w:szCs w:val="24"/>
                <w:lang w:eastAsia="zh-CN"/>
              </w:rPr>
              <w:t>）信息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4.31</w:t>
            </w:r>
            <w:r>
              <w:rPr>
                <w:rFonts w:hint="eastAsia"/>
                <w:color w:val="000000"/>
                <w:sz w:val="24"/>
                <w:szCs w:val="24"/>
                <w:lang w:eastAsia="zh-CN"/>
              </w:rPr>
              <w:t>协助研究者收集并追踪合并用药信息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4.32</w:t>
            </w:r>
            <w:r>
              <w:rPr>
                <w:rFonts w:hint="eastAsia"/>
                <w:color w:val="000000"/>
                <w:sz w:val="24"/>
                <w:szCs w:val="24"/>
                <w:lang w:eastAsia="zh-CN"/>
              </w:rPr>
              <w:t>协助研究者进行受试者的身高、体重及生命体征等相关测量</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3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提醒受试者下次访视时间</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4.33</w:t>
            </w:r>
            <w:r>
              <w:rPr>
                <w:rFonts w:hint="eastAsia"/>
                <w:color w:val="000000"/>
                <w:sz w:val="24"/>
                <w:szCs w:val="24"/>
                <w:lang w:eastAsia="zh-CN"/>
              </w:rPr>
              <w:t>通知研究者下次随访时间及安排</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4.34</w:t>
            </w:r>
            <w:r>
              <w:rPr>
                <w:rFonts w:hint="eastAsia"/>
                <w:color w:val="000000"/>
                <w:sz w:val="24"/>
                <w:szCs w:val="24"/>
                <w:lang w:eastAsia="zh-CN"/>
              </w:rPr>
              <w:t>受试者报销管理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992"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4.35</w:t>
            </w:r>
            <w:r>
              <w:rPr>
                <w:rFonts w:hint="eastAsia"/>
                <w:color w:val="000000"/>
                <w:sz w:val="24"/>
                <w:szCs w:val="24"/>
                <w:lang w:eastAsia="zh-CN"/>
              </w:rPr>
              <w:t>与受试者首次服药后随访相关的其他工作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b/>
                <w:bCs/>
                <w:color w:val="000000"/>
                <w:sz w:val="24"/>
                <w:szCs w:val="24"/>
              </w:rPr>
              <w:t>5</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研究数据管理</w:t>
            </w:r>
          </w:p>
        </w:tc>
        <w:tc>
          <w:tcPr>
            <w:tcW w:w="992"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原始数据收集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5.1</w:t>
            </w:r>
            <w:r>
              <w:rPr>
                <w:rFonts w:hint="eastAsia"/>
                <w:color w:val="000000"/>
                <w:sz w:val="24"/>
                <w:szCs w:val="24"/>
                <w:lang w:eastAsia="zh-CN"/>
              </w:rPr>
              <w:t>原始数据收集管理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restart"/>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r>
              <w:rPr>
                <w:rFonts w:hint="eastAsia" w:ascii="宋体" w:hAnsi="宋体" w:cs="宋体"/>
                <w:b/>
                <w:bCs/>
                <w:color w:val="000000"/>
                <w:sz w:val="24"/>
                <w:szCs w:val="24"/>
              </w:rPr>
              <w:t>数据</w:t>
            </w:r>
            <w:r>
              <w:rPr>
                <w:rFonts w:ascii="宋体" w:hAnsi="宋体" w:cs="宋体"/>
                <w:b/>
                <w:bCs/>
                <w:color w:val="000000"/>
                <w:sz w:val="24"/>
                <w:szCs w:val="24"/>
              </w:rPr>
              <w:t>传输</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5.2</w:t>
            </w:r>
            <w:r>
              <w:rPr>
                <w:rFonts w:hint="eastAsia"/>
                <w:color w:val="000000"/>
                <w:sz w:val="24"/>
                <w:szCs w:val="24"/>
                <w:lang w:eastAsia="zh-CN"/>
              </w:rPr>
              <w:t>传输试验相关数据资料</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5.3</w:t>
            </w:r>
            <w:r>
              <w:rPr>
                <w:rFonts w:hint="eastAsia"/>
                <w:color w:val="000000"/>
                <w:sz w:val="24"/>
                <w:szCs w:val="24"/>
                <w:lang w:eastAsia="zh-CN"/>
              </w:rPr>
              <w:t>与数据传输相关的其他工作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993"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99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5.</w:t>
            </w:r>
            <w:r>
              <w:rPr>
                <w:rFonts w:hint="eastAsia"/>
                <w:color w:val="000000"/>
                <w:sz w:val="24"/>
                <w:szCs w:val="24"/>
                <w:lang w:eastAsia="zh-CN"/>
              </w:rPr>
              <w:t>4协助研究者质疑解答</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41"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b/>
                <w:bCs/>
                <w:color w:val="000000"/>
                <w:sz w:val="24"/>
                <w:szCs w:val="24"/>
              </w:rPr>
              <w:t>6</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药物管理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6.1</w:t>
            </w:r>
            <w:r>
              <w:rPr>
                <w:rFonts w:hint="eastAsia"/>
                <w:color w:val="000000"/>
                <w:sz w:val="24"/>
                <w:szCs w:val="24"/>
                <w:lang w:eastAsia="zh-CN"/>
              </w:rPr>
              <w:t>协助研究药物的接收、清点、记录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503"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6.2</w:t>
            </w:r>
            <w:r>
              <w:rPr>
                <w:rFonts w:hint="eastAsia"/>
                <w:color w:val="000000"/>
                <w:sz w:val="24"/>
                <w:szCs w:val="24"/>
                <w:lang w:eastAsia="zh-CN"/>
              </w:rPr>
              <w:t>协助研究药物的储存、有效期管理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6.3</w:t>
            </w:r>
            <w:r>
              <w:rPr>
                <w:rFonts w:hint="eastAsia"/>
                <w:color w:val="000000"/>
                <w:sz w:val="24"/>
                <w:szCs w:val="24"/>
                <w:lang w:eastAsia="zh-CN"/>
              </w:rPr>
              <w:t>协助研究药物的核对、发放、记录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49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6.4</w:t>
            </w:r>
            <w:r>
              <w:rPr>
                <w:rFonts w:hint="eastAsia"/>
                <w:color w:val="000000"/>
                <w:sz w:val="24"/>
                <w:szCs w:val="24"/>
                <w:lang w:eastAsia="zh-CN"/>
              </w:rPr>
              <w:t>协助研究药物的清点、回收、记录（适用于从受试者处回收时）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6.5</w:t>
            </w:r>
            <w:r>
              <w:rPr>
                <w:rFonts w:hint="eastAsia"/>
                <w:color w:val="000000"/>
                <w:sz w:val="24"/>
                <w:szCs w:val="24"/>
                <w:lang w:eastAsia="zh-CN"/>
              </w:rPr>
              <w:t>协助研究药物的清点、记录、返还给申办方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6.6</w:t>
            </w:r>
            <w:r>
              <w:rPr>
                <w:rFonts w:hint="eastAsia"/>
                <w:color w:val="000000"/>
                <w:sz w:val="24"/>
                <w:szCs w:val="24"/>
                <w:lang w:eastAsia="zh-CN"/>
              </w:rPr>
              <w:t>与药物管理相关的其他工作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b/>
                <w:bCs/>
                <w:color w:val="000000"/>
                <w:sz w:val="24"/>
                <w:szCs w:val="24"/>
              </w:rPr>
              <w:t>7</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物资管理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7.1</w:t>
            </w:r>
            <w:r>
              <w:rPr>
                <w:rFonts w:hint="eastAsia"/>
                <w:color w:val="000000"/>
                <w:sz w:val="24"/>
                <w:szCs w:val="24"/>
                <w:lang w:eastAsia="zh-CN"/>
              </w:rPr>
              <w:t>试验相关物资的申请</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7.2</w:t>
            </w:r>
            <w:r>
              <w:rPr>
                <w:rFonts w:hint="eastAsia"/>
                <w:color w:val="000000"/>
                <w:sz w:val="24"/>
                <w:szCs w:val="24"/>
                <w:lang w:eastAsia="zh-CN"/>
              </w:rPr>
              <w:t>试验相关物资的接收、清点、记录</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7.3试验相关物资的储存、清点、有效期管理</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7.4试验相关物资的清点、销毁、返还给申办方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7.5与物资管理相关的其他工作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8</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文件管理</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8.1定期检查更新研究者文件夹</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510"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8.2安全性报告、伦理备案文件、项目相关文件的整理、归档</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8.3重要文件获得主要研究者及其他研究者签字</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8.4与文件管理相关的其他工作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9</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协助监查、稽查</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9.1监查前的准备工作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9.2稽查/视察前的准备工作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9.3配合监查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9.4配合研究中心的检查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9.5配合监督管理部门的检查</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9.6跟踪解决检查发现的遗留问题</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9.7与配合检查相关的其他工作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10</w:t>
            </w:r>
          </w:p>
        </w:tc>
        <w:tc>
          <w:tcPr>
            <w:tcW w:w="198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ascii="宋体" w:hAnsi="宋体" w:cs="宋体"/>
                <w:b/>
                <w:bCs/>
                <w:color w:val="000000"/>
                <w:sz w:val="24"/>
                <w:szCs w:val="24"/>
              </w:rPr>
              <w:t>SAE</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10.1协助研究者收集并追踪SAE信息</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10.2协助研究者完成SAE</w:t>
            </w:r>
            <w:r>
              <w:rPr>
                <w:rFonts w:hint="eastAsia"/>
                <w:color w:val="000000"/>
                <w:sz w:val="24"/>
                <w:szCs w:val="24"/>
                <w:lang w:eastAsia="zh-CN"/>
              </w:rPr>
              <w:t>/SUSAR</w:t>
            </w:r>
            <w:r>
              <w:rPr>
                <w:color w:val="000000"/>
                <w:sz w:val="24"/>
                <w:szCs w:val="24"/>
                <w:lang w:eastAsia="zh-CN"/>
              </w:rPr>
              <w:t>报告表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10.3协助研究者上报相关部门</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10.4归档SAE相关文件</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10.5 SAE跟踪</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jc w:val="center"/>
              <w:rPr>
                <w:b/>
                <w:color w:val="000000"/>
                <w:sz w:val="24"/>
                <w:szCs w:val="24"/>
                <w:lang w:eastAsia="zh-CN"/>
              </w:rPr>
            </w:pPr>
          </w:p>
        </w:tc>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cs="宋体"/>
                <w:b/>
                <w:bCs/>
                <w:color w:val="000000"/>
                <w:sz w:val="24"/>
                <w:szCs w:val="24"/>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10.6与SAE</w:t>
            </w:r>
            <w:r>
              <w:rPr>
                <w:rFonts w:hint="eastAsia"/>
                <w:color w:val="000000"/>
                <w:sz w:val="24"/>
                <w:szCs w:val="24"/>
                <w:lang w:val="en-US" w:eastAsia="zh-CN"/>
              </w:rPr>
              <w:t>/SUSAR</w:t>
            </w:r>
            <w:r>
              <w:rPr>
                <w:color w:val="000000"/>
                <w:sz w:val="24"/>
                <w:szCs w:val="24"/>
                <w:lang w:eastAsia="zh-CN"/>
              </w:rPr>
              <w:t>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before="100" w:beforeAutospacing="1" w:after="100" w:afterAutospacing="1"/>
              <w:jc w:val="center"/>
              <w:rPr>
                <w:b/>
                <w:color w:val="000000"/>
                <w:sz w:val="24"/>
                <w:szCs w:val="24"/>
                <w:lang w:eastAsia="zh-CN"/>
              </w:rPr>
            </w:pPr>
            <w:r>
              <w:rPr>
                <w:b/>
                <w:color w:val="000000"/>
                <w:sz w:val="24"/>
                <w:szCs w:val="24"/>
                <w:lang w:eastAsia="zh-CN"/>
              </w:rPr>
              <w:t>11</w:t>
            </w:r>
          </w:p>
        </w:tc>
        <w:tc>
          <w:tcPr>
            <w:tcW w:w="1985"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before="100" w:beforeAutospacing="1" w:after="100" w:afterAutospacing="1"/>
              <w:jc w:val="center"/>
              <w:rPr>
                <w:rFonts w:ascii="宋体" w:hAnsi="宋体" w:cs="宋体"/>
                <w:b/>
                <w:bCs/>
                <w:color w:val="000000"/>
                <w:sz w:val="24"/>
                <w:szCs w:val="24"/>
              </w:rPr>
            </w:pPr>
            <w:r>
              <w:rPr>
                <w:rFonts w:hint="eastAsia" w:ascii="宋体" w:hAnsi="宋体" w:cs="宋体"/>
                <w:b/>
                <w:bCs/>
                <w:color w:val="000000"/>
                <w:sz w:val="24"/>
                <w:szCs w:val="24"/>
              </w:rPr>
              <w:t>沟通</w:t>
            </w: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11.1</w:t>
            </w:r>
            <w:r>
              <w:rPr>
                <w:rFonts w:hint="eastAsia"/>
                <w:color w:val="000000"/>
                <w:sz w:val="24"/>
                <w:szCs w:val="24"/>
                <w:lang w:eastAsia="zh-CN"/>
              </w:rPr>
              <w:t>与申办方的沟通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11.2</w:t>
            </w:r>
            <w:r>
              <w:rPr>
                <w:rFonts w:hint="eastAsia"/>
                <w:color w:val="000000"/>
                <w:sz w:val="24"/>
                <w:szCs w:val="24"/>
                <w:lang w:eastAsia="zh-CN"/>
              </w:rPr>
              <w:t>与机构</w:t>
            </w:r>
            <w:r>
              <w:rPr>
                <w:color w:val="000000"/>
                <w:sz w:val="24"/>
                <w:szCs w:val="24"/>
                <w:lang w:eastAsia="zh-CN"/>
              </w:rPr>
              <w:t>/</w:t>
            </w:r>
            <w:r>
              <w:rPr>
                <w:rFonts w:hint="eastAsia"/>
                <w:color w:val="000000"/>
                <w:sz w:val="24"/>
                <w:szCs w:val="24"/>
                <w:lang w:eastAsia="zh-CN"/>
              </w:rPr>
              <w:t>研究者的沟通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11.3</w:t>
            </w:r>
            <w:r>
              <w:rPr>
                <w:rFonts w:hint="eastAsia"/>
                <w:color w:val="000000"/>
                <w:sz w:val="24"/>
                <w:szCs w:val="24"/>
                <w:lang w:eastAsia="zh-CN"/>
              </w:rPr>
              <w:t>项目内部沟通</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r>
        <w:tblPrEx>
          <w:tblCellMar>
            <w:top w:w="0" w:type="dxa"/>
            <w:left w:w="108" w:type="dxa"/>
            <w:bottom w:w="0" w:type="dxa"/>
            <w:right w:w="108" w:type="dxa"/>
          </w:tblCellMar>
        </w:tblPrEx>
        <w:trPr>
          <w:trHeight w:val="255" w:hRule="atLeast"/>
        </w:trPr>
        <w:tc>
          <w:tcPr>
            <w:tcW w:w="1560" w:type="dxa"/>
            <w:vMerge w:val="continue"/>
            <w:tcBorders>
              <w:top w:val="nil"/>
              <w:left w:val="single" w:color="auto" w:sz="4" w:space="0"/>
              <w:bottom w:val="single" w:color="000000" w:sz="4" w:space="0"/>
              <w:right w:val="single" w:color="auto" w:sz="4" w:space="0"/>
            </w:tcBorders>
            <w:vAlign w:val="center"/>
          </w:tcPr>
          <w:p>
            <w:pPr>
              <w:widowControl/>
              <w:spacing w:before="100" w:beforeAutospacing="1" w:after="100" w:afterAutospacing="1"/>
              <w:jc w:val="left"/>
              <w:rPr>
                <w:color w:val="000000"/>
                <w:sz w:val="24"/>
                <w:szCs w:val="24"/>
                <w:lang w:eastAsia="zh-CN"/>
              </w:rPr>
            </w:pPr>
          </w:p>
        </w:tc>
        <w:tc>
          <w:tcPr>
            <w:tcW w:w="1985"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before="100" w:beforeAutospacing="1" w:after="100" w:afterAutospacing="1"/>
              <w:jc w:val="left"/>
              <w:rPr>
                <w:color w:val="000000"/>
                <w:sz w:val="24"/>
                <w:szCs w:val="24"/>
                <w:lang w:eastAsia="zh-CN"/>
              </w:rPr>
            </w:pPr>
          </w:p>
        </w:tc>
        <w:tc>
          <w:tcPr>
            <w:tcW w:w="5386"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left"/>
              <w:rPr>
                <w:color w:val="000000"/>
                <w:sz w:val="24"/>
                <w:szCs w:val="24"/>
                <w:lang w:eastAsia="zh-CN"/>
              </w:rPr>
            </w:pPr>
            <w:r>
              <w:rPr>
                <w:color w:val="000000"/>
                <w:sz w:val="24"/>
                <w:szCs w:val="24"/>
                <w:lang w:eastAsia="zh-CN"/>
              </w:rPr>
              <w:t>11.4</w:t>
            </w:r>
            <w:r>
              <w:rPr>
                <w:rFonts w:hint="eastAsia"/>
                <w:color w:val="000000"/>
                <w:sz w:val="24"/>
                <w:szCs w:val="24"/>
                <w:lang w:eastAsia="zh-CN"/>
              </w:rPr>
              <w:t>与项目沟通相关的其他工作</w:t>
            </w:r>
          </w:p>
        </w:tc>
        <w:tc>
          <w:tcPr>
            <w:tcW w:w="993" w:type="dxa"/>
            <w:tcBorders>
              <w:top w:val="nil"/>
              <w:left w:val="nil"/>
              <w:bottom w:val="single" w:color="auto" w:sz="4" w:space="0"/>
              <w:right w:val="single" w:color="auto" w:sz="4" w:space="0"/>
            </w:tcBorders>
            <w:shd w:val="clear" w:color="auto" w:fill="auto"/>
            <w:vAlign w:val="center"/>
          </w:tcPr>
          <w:p>
            <w:pPr>
              <w:widowControl/>
              <w:spacing w:before="100" w:beforeAutospacing="1" w:after="100" w:afterAutospacing="1"/>
              <w:jc w:val="center"/>
              <w:rPr>
                <w:color w:val="000000"/>
                <w:sz w:val="24"/>
                <w:szCs w:val="24"/>
                <w:lang w:eastAsia="zh-CN"/>
              </w:rPr>
            </w:pPr>
            <w:r>
              <w:rPr>
                <w:rFonts w:hint="eastAsia"/>
                <w:color w:val="000000"/>
                <w:sz w:val="24"/>
                <w:szCs w:val="24"/>
                <w:lang w:eastAsia="zh-CN"/>
              </w:rPr>
              <w:t>是</w:t>
            </w:r>
          </w:p>
        </w:tc>
      </w:tr>
    </w:tbl>
    <w:p>
      <w:pPr>
        <w:rPr>
          <w:rFonts w:ascii="宋体" w:hAnsi="宋体" w:cs="宋体"/>
          <w:b/>
          <w:sz w:val="28"/>
          <w:szCs w:val="28"/>
          <w:lang w:eastAsia="zh-CN"/>
        </w:rPr>
      </w:pPr>
    </w:p>
    <w:sectPr>
      <w:headerReference r:id="rId6" w:type="first"/>
      <w:footerReference r:id="rId8" w:type="first"/>
      <w:headerReference r:id="rId5" w:type="default"/>
      <w:footerReference r:id="rId7" w:type="default"/>
      <w:pgSz w:w="12240" w:h="15840"/>
      <w:pgMar w:top="1134" w:right="1183" w:bottom="1134" w:left="1134" w:header="709" w:footer="709" w:gutter="0"/>
      <w:paperSrc w:first="15" w:other="15"/>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fa Rotis Semisans">
    <w:altName w:val="Tahoma"/>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74"/>
    </w:sdtPr>
    <w:sdtContent>
      <w:sdt>
        <w:sdtPr>
          <w:id w:val="171357217"/>
        </w:sdtPr>
        <w:sdtContent>
          <w:p>
            <w:pPr>
              <w:pStyle w:val="1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0"/>
        <w:tab w:val="left" w:pos="4320"/>
        <w:tab w:val="right" w:pos="9360"/>
        <w:tab w:val="clear"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dotted" w:color="auto" w:sz="4" w:space="0"/>
      </w:pBdr>
      <w:jc w:val="left"/>
      <w:rPr>
        <w:rFonts w:hint="default" w:eastAsia="宋体"/>
        <w:lang w:val="en-US" w:eastAsia="zh-CN"/>
      </w:rPr>
    </w:pPr>
    <w:r>
      <w:rPr>
        <w:rFonts w:hint="eastAsia"/>
      </w:rPr>
      <w:drawing>
        <wp:anchor distT="0" distB="0" distL="114300" distR="114300" simplePos="0" relativeHeight="251659264" behindDoc="0" locked="0" layoutInCell="1" allowOverlap="1">
          <wp:simplePos x="0" y="0"/>
          <wp:positionH relativeFrom="column">
            <wp:posOffset>553085</wp:posOffset>
          </wp:positionH>
          <wp:positionV relativeFrom="paragraph">
            <wp:posOffset>-1270</wp:posOffset>
          </wp:positionV>
          <wp:extent cx="521970" cy="521970"/>
          <wp:effectExtent l="0" t="0" r="11430" b="1143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drawing>
        <wp:inline distT="0" distB="0" distL="114300" distR="114300">
          <wp:extent cx="555625" cy="520065"/>
          <wp:effectExtent l="0" t="0" r="1587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lang w:val="en-US" w:eastAsia="zh-CN"/>
      </w:rPr>
      <w:t xml:space="preserve">                                                                                                   临床试验CRC服务三方协议   V2.1/2024.01.11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0C458"/>
    <w:multiLevelType w:val="singleLevel"/>
    <w:tmpl w:val="B790C458"/>
    <w:lvl w:ilvl="0" w:tentative="0">
      <w:start w:val="1"/>
      <w:numFmt w:val="decimal"/>
      <w:lvlText w:val="%1."/>
      <w:lvlJc w:val="left"/>
      <w:pPr>
        <w:tabs>
          <w:tab w:val="left" w:pos="420"/>
        </w:tabs>
        <w:ind w:left="845" w:hanging="425"/>
      </w:pPr>
      <w:rPr>
        <w:rFonts w:hint="default"/>
      </w:rPr>
    </w:lvl>
  </w:abstractNum>
  <w:abstractNum w:abstractNumId="1">
    <w:nsid w:val="CDFA00C9"/>
    <w:multiLevelType w:val="singleLevel"/>
    <w:tmpl w:val="CDFA00C9"/>
    <w:lvl w:ilvl="0" w:tentative="0">
      <w:start w:val="3"/>
      <w:numFmt w:val="chineseCounting"/>
      <w:suff w:val="nothing"/>
      <w:lvlText w:val="%1、"/>
      <w:lvlJc w:val="left"/>
      <w:rPr>
        <w:rFonts w:hint="eastAsia"/>
        <w:b/>
        <w:bCs/>
      </w:rPr>
    </w:lvl>
  </w:abstractNum>
  <w:abstractNum w:abstractNumId="2">
    <w:nsid w:val="D3C632A1"/>
    <w:multiLevelType w:val="singleLevel"/>
    <w:tmpl w:val="D3C632A1"/>
    <w:lvl w:ilvl="0" w:tentative="0">
      <w:start w:val="1"/>
      <w:numFmt w:val="decimal"/>
      <w:lvlText w:val="%1."/>
      <w:lvlJc w:val="left"/>
      <w:pPr>
        <w:tabs>
          <w:tab w:val="left" w:pos="420"/>
        </w:tabs>
        <w:ind w:left="845" w:hanging="425"/>
      </w:pPr>
      <w:rPr>
        <w:rFonts w:hint="default"/>
      </w:rPr>
    </w:lvl>
  </w:abstractNum>
  <w:abstractNum w:abstractNumId="3">
    <w:nsid w:val="F05CD08F"/>
    <w:multiLevelType w:val="singleLevel"/>
    <w:tmpl w:val="F05CD08F"/>
    <w:lvl w:ilvl="0" w:tentative="0">
      <w:start w:val="1"/>
      <w:numFmt w:val="decimal"/>
      <w:lvlText w:val="%1."/>
      <w:lvlJc w:val="left"/>
      <w:pPr>
        <w:tabs>
          <w:tab w:val="left" w:pos="312"/>
        </w:tabs>
      </w:pPr>
    </w:lvl>
  </w:abstractNum>
  <w:abstractNum w:abstractNumId="4">
    <w:nsid w:val="05F46D96"/>
    <w:multiLevelType w:val="singleLevel"/>
    <w:tmpl w:val="05F46D96"/>
    <w:lvl w:ilvl="0" w:tentative="0">
      <w:start w:val="1"/>
      <w:numFmt w:val="decimal"/>
      <w:lvlText w:val="%1."/>
      <w:lvlJc w:val="left"/>
      <w:pPr>
        <w:tabs>
          <w:tab w:val="left" w:pos="420"/>
        </w:tabs>
        <w:ind w:left="845" w:hanging="425"/>
      </w:pPr>
      <w:rPr>
        <w:rFonts w:hint="default"/>
      </w:rPr>
    </w:lvl>
  </w:abstractNum>
  <w:abstractNum w:abstractNumId="5">
    <w:nsid w:val="0EEBF8EA"/>
    <w:multiLevelType w:val="singleLevel"/>
    <w:tmpl w:val="0EEBF8EA"/>
    <w:lvl w:ilvl="0" w:tentative="0">
      <w:start w:val="1"/>
      <w:numFmt w:val="decimal"/>
      <w:lvlText w:val="%1."/>
      <w:lvlJc w:val="left"/>
      <w:pPr>
        <w:tabs>
          <w:tab w:val="left" w:pos="420"/>
        </w:tabs>
        <w:ind w:left="845" w:hanging="425"/>
      </w:pPr>
      <w:rPr>
        <w:rFonts w:hint="default"/>
      </w:rPr>
    </w:lvl>
  </w:abstractNum>
  <w:abstractNum w:abstractNumId="6">
    <w:nsid w:val="1364687B"/>
    <w:multiLevelType w:val="singleLevel"/>
    <w:tmpl w:val="1364687B"/>
    <w:lvl w:ilvl="0" w:tentative="0">
      <w:start w:val="1"/>
      <w:numFmt w:val="decimal"/>
      <w:lvlText w:val="%1."/>
      <w:lvlJc w:val="left"/>
      <w:pPr>
        <w:tabs>
          <w:tab w:val="left" w:pos="420"/>
        </w:tabs>
        <w:ind w:left="845" w:hanging="425"/>
      </w:pPr>
      <w:rPr>
        <w:rFonts w:hint="default"/>
      </w:rPr>
    </w:lvl>
  </w:abstractNum>
  <w:abstractNum w:abstractNumId="7">
    <w:nsid w:val="2CF39A07"/>
    <w:multiLevelType w:val="singleLevel"/>
    <w:tmpl w:val="2CF39A07"/>
    <w:lvl w:ilvl="0" w:tentative="0">
      <w:start w:val="1"/>
      <w:numFmt w:val="decimal"/>
      <w:lvlText w:val="%1."/>
      <w:lvlJc w:val="left"/>
      <w:pPr>
        <w:tabs>
          <w:tab w:val="left" w:pos="420"/>
        </w:tabs>
        <w:ind w:left="845" w:hanging="425"/>
      </w:pPr>
      <w:rPr>
        <w:rFonts w:hint="default"/>
      </w:rPr>
    </w:lvl>
  </w:abstractNum>
  <w:abstractNum w:abstractNumId="8">
    <w:nsid w:val="41CE487D"/>
    <w:multiLevelType w:val="multilevel"/>
    <w:tmpl w:val="41CE487D"/>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9">
    <w:nsid w:val="4CADB5BB"/>
    <w:multiLevelType w:val="singleLevel"/>
    <w:tmpl w:val="4CADB5BB"/>
    <w:lvl w:ilvl="0" w:tentative="0">
      <w:start w:val="1"/>
      <w:numFmt w:val="decimal"/>
      <w:lvlText w:val="%1."/>
      <w:lvlJc w:val="left"/>
      <w:pPr>
        <w:tabs>
          <w:tab w:val="left" w:pos="420"/>
        </w:tabs>
        <w:ind w:left="845" w:hanging="425"/>
      </w:pPr>
      <w:rPr>
        <w:rFonts w:hint="default"/>
      </w:rPr>
    </w:lvl>
  </w:abstractNum>
  <w:abstractNum w:abstractNumId="10">
    <w:nsid w:val="6520F685"/>
    <w:multiLevelType w:val="singleLevel"/>
    <w:tmpl w:val="6520F685"/>
    <w:lvl w:ilvl="0" w:tentative="0">
      <w:start w:val="3"/>
      <w:numFmt w:val="decimal"/>
      <w:suff w:val="space"/>
      <w:lvlText w:val="%1."/>
      <w:lvlJc w:val="left"/>
      <w:pPr>
        <w:ind w:left="-420"/>
      </w:pPr>
    </w:lvl>
  </w:abstractNum>
  <w:abstractNum w:abstractNumId="11">
    <w:nsid w:val="68E6C30D"/>
    <w:multiLevelType w:val="singleLevel"/>
    <w:tmpl w:val="68E6C30D"/>
    <w:lvl w:ilvl="0" w:tentative="0">
      <w:start w:val="1"/>
      <w:numFmt w:val="decimal"/>
      <w:lvlText w:val="%1."/>
      <w:lvlJc w:val="left"/>
      <w:pPr>
        <w:tabs>
          <w:tab w:val="left" w:pos="420"/>
        </w:tabs>
        <w:ind w:left="845" w:hanging="425"/>
      </w:pPr>
      <w:rPr>
        <w:rFonts w:hint="default"/>
      </w:rPr>
    </w:lvl>
  </w:abstractNum>
  <w:abstractNum w:abstractNumId="12">
    <w:nsid w:val="6D2815AA"/>
    <w:multiLevelType w:val="singleLevel"/>
    <w:tmpl w:val="6D2815AA"/>
    <w:lvl w:ilvl="0" w:tentative="0">
      <w:start w:val="8"/>
      <w:numFmt w:val="chineseCounting"/>
      <w:suff w:val="space"/>
      <w:lvlText w:val="%1、"/>
      <w:lvlJc w:val="left"/>
      <w:rPr>
        <w:rFonts w:hint="eastAsia"/>
        <w:b/>
        <w:bCs/>
      </w:rPr>
    </w:lvl>
  </w:abstractNum>
  <w:abstractNum w:abstractNumId="13">
    <w:nsid w:val="7B44923D"/>
    <w:multiLevelType w:val="singleLevel"/>
    <w:tmpl w:val="7B44923D"/>
    <w:lvl w:ilvl="0" w:tentative="0">
      <w:start w:val="1"/>
      <w:numFmt w:val="decimal"/>
      <w:lvlText w:val="%1."/>
      <w:lvlJc w:val="left"/>
      <w:pPr>
        <w:tabs>
          <w:tab w:val="left" w:pos="420"/>
        </w:tabs>
        <w:ind w:left="845" w:hanging="425"/>
      </w:pPr>
      <w:rPr>
        <w:rFonts w:hint="default"/>
      </w:rPr>
    </w:lvl>
  </w:abstractNum>
  <w:num w:numId="1">
    <w:abstractNumId w:val="8"/>
  </w:num>
  <w:num w:numId="2">
    <w:abstractNumId w:val="9"/>
  </w:num>
  <w:num w:numId="3">
    <w:abstractNumId w:val="7"/>
  </w:num>
  <w:num w:numId="4">
    <w:abstractNumId w:val="5"/>
  </w:num>
  <w:num w:numId="5">
    <w:abstractNumId w:val="6"/>
  </w:num>
  <w:num w:numId="6">
    <w:abstractNumId w:val="1"/>
  </w:num>
  <w:num w:numId="7">
    <w:abstractNumId w:val="0"/>
  </w:num>
  <w:num w:numId="8">
    <w:abstractNumId w:val="10"/>
  </w:num>
  <w:num w:numId="9">
    <w:abstractNumId w:val="4"/>
  </w:num>
  <w:num w:numId="10">
    <w:abstractNumId w:val="11"/>
  </w:num>
  <w:num w:numId="11">
    <w:abstractNumId w:val="13"/>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embedSystemFonts/>
  <w:bordersDoNotSurroundHeader w:val="1"/>
  <w:bordersDoNotSurroundFooter w:val="1"/>
  <w:trackRevisions w:val="1"/>
  <w:documentProtection w:enforcement="0"/>
  <w:defaultTabStop w:val="720"/>
  <w:doNotHyphenateCaps/>
  <w:drawingGridHorizontalSpacing w:val="100"/>
  <w:displayHorizontalDrawingGridEvery w:val="2"/>
  <w:noPunctuationKerning w:val="1"/>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5A13CF"/>
    <w:rsid w:val="00000145"/>
    <w:rsid w:val="000002B5"/>
    <w:rsid w:val="00001256"/>
    <w:rsid w:val="000055A4"/>
    <w:rsid w:val="00005C32"/>
    <w:rsid w:val="0000714E"/>
    <w:rsid w:val="00007490"/>
    <w:rsid w:val="00011608"/>
    <w:rsid w:val="000139F0"/>
    <w:rsid w:val="00013E48"/>
    <w:rsid w:val="000141B0"/>
    <w:rsid w:val="00016B53"/>
    <w:rsid w:val="00017A08"/>
    <w:rsid w:val="00017F6D"/>
    <w:rsid w:val="000206FA"/>
    <w:rsid w:val="00024432"/>
    <w:rsid w:val="000246F8"/>
    <w:rsid w:val="00024994"/>
    <w:rsid w:val="0002537E"/>
    <w:rsid w:val="0002652F"/>
    <w:rsid w:val="000302EC"/>
    <w:rsid w:val="00032BE8"/>
    <w:rsid w:val="0003484A"/>
    <w:rsid w:val="0003644A"/>
    <w:rsid w:val="00040513"/>
    <w:rsid w:val="000406B4"/>
    <w:rsid w:val="00042C12"/>
    <w:rsid w:val="00043225"/>
    <w:rsid w:val="0004394F"/>
    <w:rsid w:val="000441C0"/>
    <w:rsid w:val="00050D3C"/>
    <w:rsid w:val="000539C6"/>
    <w:rsid w:val="000550E4"/>
    <w:rsid w:val="00055447"/>
    <w:rsid w:val="00055EB5"/>
    <w:rsid w:val="0005667E"/>
    <w:rsid w:val="00060651"/>
    <w:rsid w:val="00060B2B"/>
    <w:rsid w:val="0006524B"/>
    <w:rsid w:val="00066E07"/>
    <w:rsid w:val="0007202F"/>
    <w:rsid w:val="00077B19"/>
    <w:rsid w:val="0008166E"/>
    <w:rsid w:val="00083426"/>
    <w:rsid w:val="00086365"/>
    <w:rsid w:val="00086D6E"/>
    <w:rsid w:val="00091305"/>
    <w:rsid w:val="00091647"/>
    <w:rsid w:val="00095C34"/>
    <w:rsid w:val="00096174"/>
    <w:rsid w:val="000A3E58"/>
    <w:rsid w:val="000A593A"/>
    <w:rsid w:val="000A5C89"/>
    <w:rsid w:val="000A6016"/>
    <w:rsid w:val="000B0200"/>
    <w:rsid w:val="000B1F89"/>
    <w:rsid w:val="000B2C18"/>
    <w:rsid w:val="000B42D8"/>
    <w:rsid w:val="000B4722"/>
    <w:rsid w:val="000C28C8"/>
    <w:rsid w:val="000C38D0"/>
    <w:rsid w:val="000C707E"/>
    <w:rsid w:val="000D0521"/>
    <w:rsid w:val="000D11A5"/>
    <w:rsid w:val="000D35FE"/>
    <w:rsid w:val="000E61F9"/>
    <w:rsid w:val="000F22E7"/>
    <w:rsid w:val="000F3EAA"/>
    <w:rsid w:val="000F732E"/>
    <w:rsid w:val="000F7888"/>
    <w:rsid w:val="00104518"/>
    <w:rsid w:val="00105349"/>
    <w:rsid w:val="001057B0"/>
    <w:rsid w:val="0010676A"/>
    <w:rsid w:val="001107B4"/>
    <w:rsid w:val="0011241E"/>
    <w:rsid w:val="00113B6E"/>
    <w:rsid w:val="00114F7A"/>
    <w:rsid w:val="00115EB1"/>
    <w:rsid w:val="00116B90"/>
    <w:rsid w:val="00122123"/>
    <w:rsid w:val="0012339D"/>
    <w:rsid w:val="001320E0"/>
    <w:rsid w:val="00133B0D"/>
    <w:rsid w:val="00133D0B"/>
    <w:rsid w:val="00134960"/>
    <w:rsid w:val="001372DD"/>
    <w:rsid w:val="001438CB"/>
    <w:rsid w:val="00145147"/>
    <w:rsid w:val="001520E8"/>
    <w:rsid w:val="00154590"/>
    <w:rsid w:val="001555D2"/>
    <w:rsid w:val="0016463D"/>
    <w:rsid w:val="00164B53"/>
    <w:rsid w:val="00164F64"/>
    <w:rsid w:val="001700CD"/>
    <w:rsid w:val="00170818"/>
    <w:rsid w:val="00170B19"/>
    <w:rsid w:val="00171AAD"/>
    <w:rsid w:val="00175148"/>
    <w:rsid w:val="0017534C"/>
    <w:rsid w:val="00180FB8"/>
    <w:rsid w:val="00181341"/>
    <w:rsid w:val="00181F28"/>
    <w:rsid w:val="00187E13"/>
    <w:rsid w:val="0019085A"/>
    <w:rsid w:val="0019695B"/>
    <w:rsid w:val="001A4367"/>
    <w:rsid w:val="001A43B3"/>
    <w:rsid w:val="001B14EE"/>
    <w:rsid w:val="001B7990"/>
    <w:rsid w:val="001C0A2C"/>
    <w:rsid w:val="001C0AB5"/>
    <w:rsid w:val="001C6479"/>
    <w:rsid w:val="001D1732"/>
    <w:rsid w:val="001D57E0"/>
    <w:rsid w:val="001D5ECA"/>
    <w:rsid w:val="001E0236"/>
    <w:rsid w:val="001E18C5"/>
    <w:rsid w:val="001E791B"/>
    <w:rsid w:val="001E7FF6"/>
    <w:rsid w:val="001F0601"/>
    <w:rsid w:val="001F117E"/>
    <w:rsid w:val="001F30CD"/>
    <w:rsid w:val="001F30E4"/>
    <w:rsid w:val="001F35B4"/>
    <w:rsid w:val="001F788B"/>
    <w:rsid w:val="00202805"/>
    <w:rsid w:val="002037F6"/>
    <w:rsid w:val="0020751B"/>
    <w:rsid w:val="00212147"/>
    <w:rsid w:val="00216519"/>
    <w:rsid w:val="0021786C"/>
    <w:rsid w:val="0022062F"/>
    <w:rsid w:val="0022257C"/>
    <w:rsid w:val="00225C4D"/>
    <w:rsid w:val="00227CB0"/>
    <w:rsid w:val="00230B25"/>
    <w:rsid w:val="00233337"/>
    <w:rsid w:val="00235A6E"/>
    <w:rsid w:val="002365E4"/>
    <w:rsid w:val="00240334"/>
    <w:rsid w:val="0024204B"/>
    <w:rsid w:val="00253E40"/>
    <w:rsid w:val="00254DF0"/>
    <w:rsid w:val="00255F1F"/>
    <w:rsid w:val="00265C91"/>
    <w:rsid w:val="00265DE9"/>
    <w:rsid w:val="0027132D"/>
    <w:rsid w:val="0027472D"/>
    <w:rsid w:val="002748B9"/>
    <w:rsid w:val="00276EAB"/>
    <w:rsid w:val="00277CA2"/>
    <w:rsid w:val="00280322"/>
    <w:rsid w:val="00280722"/>
    <w:rsid w:val="00282302"/>
    <w:rsid w:val="00282A0B"/>
    <w:rsid w:val="00283A1F"/>
    <w:rsid w:val="002846D5"/>
    <w:rsid w:val="002876A6"/>
    <w:rsid w:val="00291AA7"/>
    <w:rsid w:val="00291DF7"/>
    <w:rsid w:val="0029250F"/>
    <w:rsid w:val="00293056"/>
    <w:rsid w:val="00296977"/>
    <w:rsid w:val="00296FA1"/>
    <w:rsid w:val="002976D1"/>
    <w:rsid w:val="002978F3"/>
    <w:rsid w:val="002A1A6F"/>
    <w:rsid w:val="002A24D5"/>
    <w:rsid w:val="002A52BA"/>
    <w:rsid w:val="002B525D"/>
    <w:rsid w:val="002B7502"/>
    <w:rsid w:val="002C2045"/>
    <w:rsid w:val="002C2515"/>
    <w:rsid w:val="002C44CA"/>
    <w:rsid w:val="002D2F45"/>
    <w:rsid w:val="002D5614"/>
    <w:rsid w:val="002D67F7"/>
    <w:rsid w:val="002D6B38"/>
    <w:rsid w:val="002E052C"/>
    <w:rsid w:val="002E227E"/>
    <w:rsid w:val="002F00F0"/>
    <w:rsid w:val="002F311B"/>
    <w:rsid w:val="002F5EEC"/>
    <w:rsid w:val="002F7D19"/>
    <w:rsid w:val="003001FC"/>
    <w:rsid w:val="00303992"/>
    <w:rsid w:val="00303D45"/>
    <w:rsid w:val="00307051"/>
    <w:rsid w:val="00312539"/>
    <w:rsid w:val="00313855"/>
    <w:rsid w:val="00315175"/>
    <w:rsid w:val="00322182"/>
    <w:rsid w:val="003323D9"/>
    <w:rsid w:val="003341C7"/>
    <w:rsid w:val="003410B2"/>
    <w:rsid w:val="00342846"/>
    <w:rsid w:val="00347767"/>
    <w:rsid w:val="00350090"/>
    <w:rsid w:val="003508DE"/>
    <w:rsid w:val="00352B3E"/>
    <w:rsid w:val="003558CA"/>
    <w:rsid w:val="00355BC5"/>
    <w:rsid w:val="0035761D"/>
    <w:rsid w:val="00361CEC"/>
    <w:rsid w:val="00362D32"/>
    <w:rsid w:val="00363407"/>
    <w:rsid w:val="00363853"/>
    <w:rsid w:val="00364EDE"/>
    <w:rsid w:val="0036510A"/>
    <w:rsid w:val="00365447"/>
    <w:rsid w:val="003703E1"/>
    <w:rsid w:val="0037256E"/>
    <w:rsid w:val="00372811"/>
    <w:rsid w:val="003733C2"/>
    <w:rsid w:val="0037668B"/>
    <w:rsid w:val="00376B42"/>
    <w:rsid w:val="00382325"/>
    <w:rsid w:val="00383B16"/>
    <w:rsid w:val="00386537"/>
    <w:rsid w:val="00387F6E"/>
    <w:rsid w:val="003941CD"/>
    <w:rsid w:val="0039695B"/>
    <w:rsid w:val="00396C23"/>
    <w:rsid w:val="00397509"/>
    <w:rsid w:val="003A3F12"/>
    <w:rsid w:val="003B02C2"/>
    <w:rsid w:val="003B1D80"/>
    <w:rsid w:val="003B2A2E"/>
    <w:rsid w:val="003B46A1"/>
    <w:rsid w:val="003B4A76"/>
    <w:rsid w:val="003B564F"/>
    <w:rsid w:val="003B62E0"/>
    <w:rsid w:val="003C39AC"/>
    <w:rsid w:val="003C4127"/>
    <w:rsid w:val="003C43EB"/>
    <w:rsid w:val="003C69A1"/>
    <w:rsid w:val="003C7DEE"/>
    <w:rsid w:val="003C7F13"/>
    <w:rsid w:val="003D55E7"/>
    <w:rsid w:val="003D56D5"/>
    <w:rsid w:val="003E0C4E"/>
    <w:rsid w:val="003E6D55"/>
    <w:rsid w:val="003F2089"/>
    <w:rsid w:val="003F3008"/>
    <w:rsid w:val="003F60E5"/>
    <w:rsid w:val="003F75BC"/>
    <w:rsid w:val="00400377"/>
    <w:rsid w:val="004028B1"/>
    <w:rsid w:val="00404D0B"/>
    <w:rsid w:val="0040546C"/>
    <w:rsid w:val="00406BFE"/>
    <w:rsid w:val="00411710"/>
    <w:rsid w:val="00411A0A"/>
    <w:rsid w:val="004127D9"/>
    <w:rsid w:val="00415D99"/>
    <w:rsid w:val="00416B1E"/>
    <w:rsid w:val="00425B18"/>
    <w:rsid w:val="00426184"/>
    <w:rsid w:val="004309FE"/>
    <w:rsid w:val="00430C08"/>
    <w:rsid w:val="004315EF"/>
    <w:rsid w:val="00433244"/>
    <w:rsid w:val="00433DA0"/>
    <w:rsid w:val="00434CB0"/>
    <w:rsid w:val="004420A8"/>
    <w:rsid w:val="0044592F"/>
    <w:rsid w:val="00445FA2"/>
    <w:rsid w:val="0045343E"/>
    <w:rsid w:val="00455CAB"/>
    <w:rsid w:val="00456138"/>
    <w:rsid w:val="004637AA"/>
    <w:rsid w:val="00464112"/>
    <w:rsid w:val="00464514"/>
    <w:rsid w:val="00467DA1"/>
    <w:rsid w:val="00470A64"/>
    <w:rsid w:val="004778A3"/>
    <w:rsid w:val="00481980"/>
    <w:rsid w:val="00484C76"/>
    <w:rsid w:val="00485075"/>
    <w:rsid w:val="00490C50"/>
    <w:rsid w:val="00493CF0"/>
    <w:rsid w:val="004959B7"/>
    <w:rsid w:val="004A057F"/>
    <w:rsid w:val="004A2646"/>
    <w:rsid w:val="004A60F7"/>
    <w:rsid w:val="004A7F00"/>
    <w:rsid w:val="004B267E"/>
    <w:rsid w:val="004B3AED"/>
    <w:rsid w:val="004B3F1F"/>
    <w:rsid w:val="004C0B46"/>
    <w:rsid w:val="004C4216"/>
    <w:rsid w:val="004D0B38"/>
    <w:rsid w:val="004D525D"/>
    <w:rsid w:val="004D546C"/>
    <w:rsid w:val="004E2A96"/>
    <w:rsid w:val="004E2F9F"/>
    <w:rsid w:val="004E4350"/>
    <w:rsid w:val="004E6082"/>
    <w:rsid w:val="004E621B"/>
    <w:rsid w:val="004E665F"/>
    <w:rsid w:val="004E7A04"/>
    <w:rsid w:val="004F1388"/>
    <w:rsid w:val="004F170F"/>
    <w:rsid w:val="004F174D"/>
    <w:rsid w:val="004F2E63"/>
    <w:rsid w:val="004F4F9C"/>
    <w:rsid w:val="004F5931"/>
    <w:rsid w:val="004F5AF7"/>
    <w:rsid w:val="004F7553"/>
    <w:rsid w:val="00502D2C"/>
    <w:rsid w:val="005030DA"/>
    <w:rsid w:val="005060AD"/>
    <w:rsid w:val="00507FBB"/>
    <w:rsid w:val="00510037"/>
    <w:rsid w:val="00510211"/>
    <w:rsid w:val="00513856"/>
    <w:rsid w:val="0051541F"/>
    <w:rsid w:val="0051638F"/>
    <w:rsid w:val="0051696C"/>
    <w:rsid w:val="00517426"/>
    <w:rsid w:val="00527AFE"/>
    <w:rsid w:val="005323B2"/>
    <w:rsid w:val="0053288A"/>
    <w:rsid w:val="005365C1"/>
    <w:rsid w:val="005427BA"/>
    <w:rsid w:val="00543CD3"/>
    <w:rsid w:val="0054729F"/>
    <w:rsid w:val="0055597B"/>
    <w:rsid w:val="00556C09"/>
    <w:rsid w:val="00557FD9"/>
    <w:rsid w:val="005607E8"/>
    <w:rsid w:val="00560944"/>
    <w:rsid w:val="005621C2"/>
    <w:rsid w:val="0056335A"/>
    <w:rsid w:val="00563FEA"/>
    <w:rsid w:val="00573F6F"/>
    <w:rsid w:val="0058118F"/>
    <w:rsid w:val="00581671"/>
    <w:rsid w:val="00581B22"/>
    <w:rsid w:val="0058206C"/>
    <w:rsid w:val="00582E0B"/>
    <w:rsid w:val="00584431"/>
    <w:rsid w:val="005855AD"/>
    <w:rsid w:val="0058626D"/>
    <w:rsid w:val="00587022"/>
    <w:rsid w:val="005872CD"/>
    <w:rsid w:val="0058755D"/>
    <w:rsid w:val="005939AF"/>
    <w:rsid w:val="00596B96"/>
    <w:rsid w:val="005971F1"/>
    <w:rsid w:val="005A0092"/>
    <w:rsid w:val="005A06F7"/>
    <w:rsid w:val="005A13CF"/>
    <w:rsid w:val="005A1933"/>
    <w:rsid w:val="005A26E1"/>
    <w:rsid w:val="005A2B4B"/>
    <w:rsid w:val="005A3A97"/>
    <w:rsid w:val="005A7783"/>
    <w:rsid w:val="005B0760"/>
    <w:rsid w:val="005B2797"/>
    <w:rsid w:val="005B3562"/>
    <w:rsid w:val="005B3793"/>
    <w:rsid w:val="005B522C"/>
    <w:rsid w:val="005B7B50"/>
    <w:rsid w:val="005C00EB"/>
    <w:rsid w:val="005C101A"/>
    <w:rsid w:val="005C1CD6"/>
    <w:rsid w:val="005C2FA8"/>
    <w:rsid w:val="005C4CEF"/>
    <w:rsid w:val="005D304A"/>
    <w:rsid w:val="005D3A2F"/>
    <w:rsid w:val="005D6C4E"/>
    <w:rsid w:val="005D6ECA"/>
    <w:rsid w:val="005D7DAE"/>
    <w:rsid w:val="005E27C1"/>
    <w:rsid w:val="005E6146"/>
    <w:rsid w:val="005E63BE"/>
    <w:rsid w:val="005E721E"/>
    <w:rsid w:val="005F09A1"/>
    <w:rsid w:val="005F169A"/>
    <w:rsid w:val="005F2563"/>
    <w:rsid w:val="005F7AB2"/>
    <w:rsid w:val="006004D0"/>
    <w:rsid w:val="0060746D"/>
    <w:rsid w:val="0061057A"/>
    <w:rsid w:val="00610F89"/>
    <w:rsid w:val="00611302"/>
    <w:rsid w:val="006163CB"/>
    <w:rsid w:val="00617DFD"/>
    <w:rsid w:val="00627BD0"/>
    <w:rsid w:val="006305C5"/>
    <w:rsid w:val="0063211F"/>
    <w:rsid w:val="00633137"/>
    <w:rsid w:val="00633451"/>
    <w:rsid w:val="0063382F"/>
    <w:rsid w:val="006340EC"/>
    <w:rsid w:val="00634868"/>
    <w:rsid w:val="006349E1"/>
    <w:rsid w:val="00644149"/>
    <w:rsid w:val="00644E4E"/>
    <w:rsid w:val="0064567F"/>
    <w:rsid w:val="00646C9F"/>
    <w:rsid w:val="00651CD3"/>
    <w:rsid w:val="006531B0"/>
    <w:rsid w:val="0065365E"/>
    <w:rsid w:val="0065456F"/>
    <w:rsid w:val="00661464"/>
    <w:rsid w:val="00664011"/>
    <w:rsid w:val="00664F5C"/>
    <w:rsid w:val="00667087"/>
    <w:rsid w:val="00671DB8"/>
    <w:rsid w:val="00672775"/>
    <w:rsid w:val="00673D64"/>
    <w:rsid w:val="006836FA"/>
    <w:rsid w:val="0068433C"/>
    <w:rsid w:val="00686319"/>
    <w:rsid w:val="00687B71"/>
    <w:rsid w:val="00690241"/>
    <w:rsid w:val="006920EC"/>
    <w:rsid w:val="00693528"/>
    <w:rsid w:val="00697987"/>
    <w:rsid w:val="00697E0A"/>
    <w:rsid w:val="006A3FC2"/>
    <w:rsid w:val="006A4309"/>
    <w:rsid w:val="006A74E3"/>
    <w:rsid w:val="006B4EE2"/>
    <w:rsid w:val="006B51B6"/>
    <w:rsid w:val="006B605F"/>
    <w:rsid w:val="006C32CB"/>
    <w:rsid w:val="006C36A5"/>
    <w:rsid w:val="006C6815"/>
    <w:rsid w:val="006D0B2B"/>
    <w:rsid w:val="006D2B87"/>
    <w:rsid w:val="006D39C9"/>
    <w:rsid w:val="006D6BE2"/>
    <w:rsid w:val="006D7136"/>
    <w:rsid w:val="006E41BD"/>
    <w:rsid w:val="006E5750"/>
    <w:rsid w:val="006F1138"/>
    <w:rsid w:val="006F1D91"/>
    <w:rsid w:val="006F3850"/>
    <w:rsid w:val="006F522C"/>
    <w:rsid w:val="00707B5D"/>
    <w:rsid w:val="007105F7"/>
    <w:rsid w:val="00713170"/>
    <w:rsid w:val="00713402"/>
    <w:rsid w:val="00714731"/>
    <w:rsid w:val="007157EE"/>
    <w:rsid w:val="00715AB9"/>
    <w:rsid w:val="00715D04"/>
    <w:rsid w:val="00723943"/>
    <w:rsid w:val="0072414F"/>
    <w:rsid w:val="00724988"/>
    <w:rsid w:val="00724A19"/>
    <w:rsid w:val="00726E39"/>
    <w:rsid w:val="007355E8"/>
    <w:rsid w:val="0073720E"/>
    <w:rsid w:val="007477C5"/>
    <w:rsid w:val="007524A6"/>
    <w:rsid w:val="007613DC"/>
    <w:rsid w:val="00763535"/>
    <w:rsid w:val="007648FB"/>
    <w:rsid w:val="00764D8E"/>
    <w:rsid w:val="007676A3"/>
    <w:rsid w:val="00771F20"/>
    <w:rsid w:val="00784BFA"/>
    <w:rsid w:val="00785116"/>
    <w:rsid w:val="0079049A"/>
    <w:rsid w:val="00793371"/>
    <w:rsid w:val="0079617F"/>
    <w:rsid w:val="00797C80"/>
    <w:rsid w:val="00797DDC"/>
    <w:rsid w:val="007A12E1"/>
    <w:rsid w:val="007A1C9E"/>
    <w:rsid w:val="007A44E2"/>
    <w:rsid w:val="007B2919"/>
    <w:rsid w:val="007B49F7"/>
    <w:rsid w:val="007B7606"/>
    <w:rsid w:val="007C09CB"/>
    <w:rsid w:val="007C5215"/>
    <w:rsid w:val="007D18BE"/>
    <w:rsid w:val="007D4B71"/>
    <w:rsid w:val="007D549C"/>
    <w:rsid w:val="007D6173"/>
    <w:rsid w:val="007D676B"/>
    <w:rsid w:val="007E033A"/>
    <w:rsid w:val="007E05ED"/>
    <w:rsid w:val="007E3A2A"/>
    <w:rsid w:val="007E534D"/>
    <w:rsid w:val="007E59AF"/>
    <w:rsid w:val="007F0EAA"/>
    <w:rsid w:val="007F1264"/>
    <w:rsid w:val="007F47D8"/>
    <w:rsid w:val="007F56C9"/>
    <w:rsid w:val="007F6F19"/>
    <w:rsid w:val="007F7DD0"/>
    <w:rsid w:val="00800DBD"/>
    <w:rsid w:val="00801D45"/>
    <w:rsid w:val="008067A6"/>
    <w:rsid w:val="008079CD"/>
    <w:rsid w:val="0081352D"/>
    <w:rsid w:val="00814DC3"/>
    <w:rsid w:val="00821CC6"/>
    <w:rsid w:val="008264EB"/>
    <w:rsid w:val="00827C41"/>
    <w:rsid w:val="008307FF"/>
    <w:rsid w:val="008317DE"/>
    <w:rsid w:val="00832817"/>
    <w:rsid w:val="00835921"/>
    <w:rsid w:val="008404C0"/>
    <w:rsid w:val="00842E8D"/>
    <w:rsid w:val="008512F1"/>
    <w:rsid w:val="00851B94"/>
    <w:rsid w:val="00852409"/>
    <w:rsid w:val="008621B0"/>
    <w:rsid w:val="00862413"/>
    <w:rsid w:val="00864437"/>
    <w:rsid w:val="00864880"/>
    <w:rsid w:val="00870367"/>
    <w:rsid w:val="008713D3"/>
    <w:rsid w:val="008717D2"/>
    <w:rsid w:val="00871808"/>
    <w:rsid w:val="00877E5E"/>
    <w:rsid w:val="00880B9F"/>
    <w:rsid w:val="00885489"/>
    <w:rsid w:val="00885E10"/>
    <w:rsid w:val="0088686B"/>
    <w:rsid w:val="00887F6B"/>
    <w:rsid w:val="00891842"/>
    <w:rsid w:val="00894233"/>
    <w:rsid w:val="008A0F71"/>
    <w:rsid w:val="008A10B5"/>
    <w:rsid w:val="008A1433"/>
    <w:rsid w:val="008A22FA"/>
    <w:rsid w:val="008A369D"/>
    <w:rsid w:val="008A6085"/>
    <w:rsid w:val="008B0E8B"/>
    <w:rsid w:val="008B46DD"/>
    <w:rsid w:val="008B56F5"/>
    <w:rsid w:val="008C6831"/>
    <w:rsid w:val="008C7435"/>
    <w:rsid w:val="008D4BAD"/>
    <w:rsid w:val="008D5E01"/>
    <w:rsid w:val="008E4083"/>
    <w:rsid w:val="008E455E"/>
    <w:rsid w:val="008E7435"/>
    <w:rsid w:val="008F09A4"/>
    <w:rsid w:val="008F3033"/>
    <w:rsid w:val="008F3AE8"/>
    <w:rsid w:val="008F7A9E"/>
    <w:rsid w:val="008F7CA5"/>
    <w:rsid w:val="00900658"/>
    <w:rsid w:val="0090239C"/>
    <w:rsid w:val="00907D82"/>
    <w:rsid w:val="00910876"/>
    <w:rsid w:val="00911EF9"/>
    <w:rsid w:val="00913AE0"/>
    <w:rsid w:val="00917239"/>
    <w:rsid w:val="0091777B"/>
    <w:rsid w:val="009204E4"/>
    <w:rsid w:val="0092099D"/>
    <w:rsid w:val="00924B17"/>
    <w:rsid w:val="00924E27"/>
    <w:rsid w:val="00927F7B"/>
    <w:rsid w:val="009303C0"/>
    <w:rsid w:val="009306A7"/>
    <w:rsid w:val="00932000"/>
    <w:rsid w:val="00932800"/>
    <w:rsid w:val="00934420"/>
    <w:rsid w:val="00935EE7"/>
    <w:rsid w:val="00940B60"/>
    <w:rsid w:val="00940E7E"/>
    <w:rsid w:val="009416CB"/>
    <w:rsid w:val="00944742"/>
    <w:rsid w:val="00944B6B"/>
    <w:rsid w:val="0094580F"/>
    <w:rsid w:val="00945FEB"/>
    <w:rsid w:val="00947C12"/>
    <w:rsid w:val="00951E8C"/>
    <w:rsid w:val="0096134B"/>
    <w:rsid w:val="0096381B"/>
    <w:rsid w:val="009673C8"/>
    <w:rsid w:val="00973A49"/>
    <w:rsid w:val="00973BEF"/>
    <w:rsid w:val="009764AA"/>
    <w:rsid w:val="00976BF7"/>
    <w:rsid w:val="009804AE"/>
    <w:rsid w:val="00985CF0"/>
    <w:rsid w:val="0099355B"/>
    <w:rsid w:val="009937CB"/>
    <w:rsid w:val="009939A3"/>
    <w:rsid w:val="0099780B"/>
    <w:rsid w:val="00997D84"/>
    <w:rsid w:val="009A486B"/>
    <w:rsid w:val="009A6229"/>
    <w:rsid w:val="009A686D"/>
    <w:rsid w:val="009B3489"/>
    <w:rsid w:val="009C14BB"/>
    <w:rsid w:val="009C4274"/>
    <w:rsid w:val="009C4F3D"/>
    <w:rsid w:val="009C5FBA"/>
    <w:rsid w:val="009D0844"/>
    <w:rsid w:val="009D1AC0"/>
    <w:rsid w:val="009D4575"/>
    <w:rsid w:val="009D52BF"/>
    <w:rsid w:val="009D534C"/>
    <w:rsid w:val="009D6F5C"/>
    <w:rsid w:val="009D7FB5"/>
    <w:rsid w:val="009E2FAB"/>
    <w:rsid w:val="009E36C0"/>
    <w:rsid w:val="009E75A5"/>
    <w:rsid w:val="009E7E61"/>
    <w:rsid w:val="009F3A9C"/>
    <w:rsid w:val="009F5323"/>
    <w:rsid w:val="009F5FEB"/>
    <w:rsid w:val="009F78C5"/>
    <w:rsid w:val="00A034B6"/>
    <w:rsid w:val="00A03D9B"/>
    <w:rsid w:val="00A05B2D"/>
    <w:rsid w:val="00A07F70"/>
    <w:rsid w:val="00A116B0"/>
    <w:rsid w:val="00A12EBF"/>
    <w:rsid w:val="00A167BD"/>
    <w:rsid w:val="00A17832"/>
    <w:rsid w:val="00A21B5B"/>
    <w:rsid w:val="00A23AF4"/>
    <w:rsid w:val="00A25C50"/>
    <w:rsid w:val="00A31CF6"/>
    <w:rsid w:val="00A35280"/>
    <w:rsid w:val="00A36988"/>
    <w:rsid w:val="00A36B84"/>
    <w:rsid w:val="00A37190"/>
    <w:rsid w:val="00A401EE"/>
    <w:rsid w:val="00A41D94"/>
    <w:rsid w:val="00A45204"/>
    <w:rsid w:val="00A454C9"/>
    <w:rsid w:val="00A6126A"/>
    <w:rsid w:val="00A64863"/>
    <w:rsid w:val="00A66500"/>
    <w:rsid w:val="00A677B0"/>
    <w:rsid w:val="00A74AA9"/>
    <w:rsid w:val="00A76861"/>
    <w:rsid w:val="00A85F44"/>
    <w:rsid w:val="00A90316"/>
    <w:rsid w:val="00A9249F"/>
    <w:rsid w:val="00A96180"/>
    <w:rsid w:val="00A96837"/>
    <w:rsid w:val="00AA31EA"/>
    <w:rsid w:val="00AA5C11"/>
    <w:rsid w:val="00AA6F73"/>
    <w:rsid w:val="00AB1ABB"/>
    <w:rsid w:val="00AB3A21"/>
    <w:rsid w:val="00AB3C05"/>
    <w:rsid w:val="00AB4C3C"/>
    <w:rsid w:val="00AB4FB7"/>
    <w:rsid w:val="00AB6C3E"/>
    <w:rsid w:val="00AC0FF2"/>
    <w:rsid w:val="00AC1D34"/>
    <w:rsid w:val="00AC3516"/>
    <w:rsid w:val="00AC7F7E"/>
    <w:rsid w:val="00AD32A5"/>
    <w:rsid w:val="00AD4637"/>
    <w:rsid w:val="00AD486A"/>
    <w:rsid w:val="00AE3B34"/>
    <w:rsid w:val="00AF302D"/>
    <w:rsid w:val="00AF3CB8"/>
    <w:rsid w:val="00AF437B"/>
    <w:rsid w:val="00AF60BF"/>
    <w:rsid w:val="00B038F2"/>
    <w:rsid w:val="00B04A3E"/>
    <w:rsid w:val="00B05340"/>
    <w:rsid w:val="00B10C5E"/>
    <w:rsid w:val="00B12E6B"/>
    <w:rsid w:val="00B216F6"/>
    <w:rsid w:val="00B24465"/>
    <w:rsid w:val="00B26F9D"/>
    <w:rsid w:val="00B2773A"/>
    <w:rsid w:val="00B30148"/>
    <w:rsid w:val="00B30360"/>
    <w:rsid w:val="00B314CF"/>
    <w:rsid w:val="00B407F1"/>
    <w:rsid w:val="00B42951"/>
    <w:rsid w:val="00B44EEB"/>
    <w:rsid w:val="00B4514D"/>
    <w:rsid w:val="00B459F4"/>
    <w:rsid w:val="00B47974"/>
    <w:rsid w:val="00B5030D"/>
    <w:rsid w:val="00B517DC"/>
    <w:rsid w:val="00B53064"/>
    <w:rsid w:val="00B5344A"/>
    <w:rsid w:val="00B54722"/>
    <w:rsid w:val="00B56FCA"/>
    <w:rsid w:val="00B57B2F"/>
    <w:rsid w:val="00B62DA3"/>
    <w:rsid w:val="00B63424"/>
    <w:rsid w:val="00B6360C"/>
    <w:rsid w:val="00B65DEC"/>
    <w:rsid w:val="00B70D3C"/>
    <w:rsid w:val="00B712AB"/>
    <w:rsid w:val="00B72AA9"/>
    <w:rsid w:val="00B74D09"/>
    <w:rsid w:val="00B754D2"/>
    <w:rsid w:val="00B8108A"/>
    <w:rsid w:val="00B81700"/>
    <w:rsid w:val="00B8269C"/>
    <w:rsid w:val="00B870DB"/>
    <w:rsid w:val="00B876FD"/>
    <w:rsid w:val="00B87D33"/>
    <w:rsid w:val="00B90574"/>
    <w:rsid w:val="00B90DDA"/>
    <w:rsid w:val="00B929E2"/>
    <w:rsid w:val="00B96F68"/>
    <w:rsid w:val="00BA2AA7"/>
    <w:rsid w:val="00BA64EB"/>
    <w:rsid w:val="00BB22BE"/>
    <w:rsid w:val="00BB52FC"/>
    <w:rsid w:val="00BC0241"/>
    <w:rsid w:val="00BC0FD3"/>
    <w:rsid w:val="00BC1831"/>
    <w:rsid w:val="00BC201F"/>
    <w:rsid w:val="00BC2728"/>
    <w:rsid w:val="00BC6BCC"/>
    <w:rsid w:val="00BC7057"/>
    <w:rsid w:val="00BD1A10"/>
    <w:rsid w:val="00BD1F78"/>
    <w:rsid w:val="00BD4452"/>
    <w:rsid w:val="00BD55F1"/>
    <w:rsid w:val="00BD656C"/>
    <w:rsid w:val="00BD6E46"/>
    <w:rsid w:val="00BD6EAD"/>
    <w:rsid w:val="00BD7730"/>
    <w:rsid w:val="00BD7B29"/>
    <w:rsid w:val="00BE4B30"/>
    <w:rsid w:val="00BF177E"/>
    <w:rsid w:val="00BF223C"/>
    <w:rsid w:val="00BF37A1"/>
    <w:rsid w:val="00C02655"/>
    <w:rsid w:val="00C03159"/>
    <w:rsid w:val="00C037E8"/>
    <w:rsid w:val="00C1050B"/>
    <w:rsid w:val="00C1072A"/>
    <w:rsid w:val="00C12550"/>
    <w:rsid w:val="00C1414A"/>
    <w:rsid w:val="00C15B40"/>
    <w:rsid w:val="00C16DEE"/>
    <w:rsid w:val="00C21D04"/>
    <w:rsid w:val="00C27044"/>
    <w:rsid w:val="00C27523"/>
    <w:rsid w:val="00C3155D"/>
    <w:rsid w:val="00C33524"/>
    <w:rsid w:val="00C33ABB"/>
    <w:rsid w:val="00C36680"/>
    <w:rsid w:val="00C37576"/>
    <w:rsid w:val="00C37A98"/>
    <w:rsid w:val="00C4053D"/>
    <w:rsid w:val="00C43CC7"/>
    <w:rsid w:val="00C478FD"/>
    <w:rsid w:val="00C54FEB"/>
    <w:rsid w:val="00C60242"/>
    <w:rsid w:val="00C60AFB"/>
    <w:rsid w:val="00C62A6A"/>
    <w:rsid w:val="00C640E1"/>
    <w:rsid w:val="00C741A1"/>
    <w:rsid w:val="00C75D03"/>
    <w:rsid w:val="00C769EB"/>
    <w:rsid w:val="00C81713"/>
    <w:rsid w:val="00C81F01"/>
    <w:rsid w:val="00C90A56"/>
    <w:rsid w:val="00C9372B"/>
    <w:rsid w:val="00C9796F"/>
    <w:rsid w:val="00CA2DCD"/>
    <w:rsid w:val="00CA2EB8"/>
    <w:rsid w:val="00CA545F"/>
    <w:rsid w:val="00CA780F"/>
    <w:rsid w:val="00CB0238"/>
    <w:rsid w:val="00CB153A"/>
    <w:rsid w:val="00CB1CEF"/>
    <w:rsid w:val="00CC3E64"/>
    <w:rsid w:val="00CC4135"/>
    <w:rsid w:val="00CC46AD"/>
    <w:rsid w:val="00CD23D6"/>
    <w:rsid w:val="00CD39E9"/>
    <w:rsid w:val="00CD78CB"/>
    <w:rsid w:val="00CD7DB2"/>
    <w:rsid w:val="00CE0B72"/>
    <w:rsid w:val="00CE0EEE"/>
    <w:rsid w:val="00CE3D3D"/>
    <w:rsid w:val="00CE59C4"/>
    <w:rsid w:val="00CE5DEF"/>
    <w:rsid w:val="00CE734B"/>
    <w:rsid w:val="00CE7AFF"/>
    <w:rsid w:val="00CF0E3D"/>
    <w:rsid w:val="00CF2880"/>
    <w:rsid w:val="00CF3790"/>
    <w:rsid w:val="00CF38F0"/>
    <w:rsid w:val="00CF3B18"/>
    <w:rsid w:val="00CF5300"/>
    <w:rsid w:val="00CF6E6A"/>
    <w:rsid w:val="00D00993"/>
    <w:rsid w:val="00D00D04"/>
    <w:rsid w:val="00D015CA"/>
    <w:rsid w:val="00D018E3"/>
    <w:rsid w:val="00D01A6B"/>
    <w:rsid w:val="00D01E2F"/>
    <w:rsid w:val="00D05313"/>
    <w:rsid w:val="00D06B85"/>
    <w:rsid w:val="00D0725A"/>
    <w:rsid w:val="00D07677"/>
    <w:rsid w:val="00D11AFF"/>
    <w:rsid w:val="00D13CE7"/>
    <w:rsid w:val="00D22221"/>
    <w:rsid w:val="00D228A2"/>
    <w:rsid w:val="00D2621B"/>
    <w:rsid w:val="00D325BE"/>
    <w:rsid w:val="00D32E79"/>
    <w:rsid w:val="00D34516"/>
    <w:rsid w:val="00D34F85"/>
    <w:rsid w:val="00D36DE4"/>
    <w:rsid w:val="00D37A0D"/>
    <w:rsid w:val="00D4349C"/>
    <w:rsid w:val="00D44BDB"/>
    <w:rsid w:val="00D44E8A"/>
    <w:rsid w:val="00D471CC"/>
    <w:rsid w:val="00D477D5"/>
    <w:rsid w:val="00D53662"/>
    <w:rsid w:val="00D5366B"/>
    <w:rsid w:val="00D55F92"/>
    <w:rsid w:val="00D62047"/>
    <w:rsid w:val="00D664F4"/>
    <w:rsid w:val="00D71AC5"/>
    <w:rsid w:val="00D73E65"/>
    <w:rsid w:val="00D76C86"/>
    <w:rsid w:val="00D82267"/>
    <w:rsid w:val="00D85F64"/>
    <w:rsid w:val="00D861F5"/>
    <w:rsid w:val="00D86CEA"/>
    <w:rsid w:val="00D8702E"/>
    <w:rsid w:val="00D9053E"/>
    <w:rsid w:val="00D92F43"/>
    <w:rsid w:val="00D950C0"/>
    <w:rsid w:val="00D9771A"/>
    <w:rsid w:val="00DA087F"/>
    <w:rsid w:val="00DA1AC7"/>
    <w:rsid w:val="00DA2B56"/>
    <w:rsid w:val="00DA32AA"/>
    <w:rsid w:val="00DA391A"/>
    <w:rsid w:val="00DA5369"/>
    <w:rsid w:val="00DB09B7"/>
    <w:rsid w:val="00DB2721"/>
    <w:rsid w:val="00DB3CF9"/>
    <w:rsid w:val="00DB77FC"/>
    <w:rsid w:val="00DC0380"/>
    <w:rsid w:val="00DC0FEA"/>
    <w:rsid w:val="00DC67A4"/>
    <w:rsid w:val="00DC751C"/>
    <w:rsid w:val="00DD04C2"/>
    <w:rsid w:val="00DD1056"/>
    <w:rsid w:val="00DD1373"/>
    <w:rsid w:val="00DD39A4"/>
    <w:rsid w:val="00DD44AA"/>
    <w:rsid w:val="00DE55CC"/>
    <w:rsid w:val="00DE7EBF"/>
    <w:rsid w:val="00DF25D9"/>
    <w:rsid w:val="00DF260D"/>
    <w:rsid w:val="00DF2E0E"/>
    <w:rsid w:val="00DF5306"/>
    <w:rsid w:val="00DF7331"/>
    <w:rsid w:val="00E007C8"/>
    <w:rsid w:val="00E01343"/>
    <w:rsid w:val="00E01F93"/>
    <w:rsid w:val="00E05797"/>
    <w:rsid w:val="00E10A17"/>
    <w:rsid w:val="00E1367E"/>
    <w:rsid w:val="00E17902"/>
    <w:rsid w:val="00E22A33"/>
    <w:rsid w:val="00E235F0"/>
    <w:rsid w:val="00E244FB"/>
    <w:rsid w:val="00E26283"/>
    <w:rsid w:val="00E26EBC"/>
    <w:rsid w:val="00E30B1A"/>
    <w:rsid w:val="00E32D6D"/>
    <w:rsid w:val="00E36498"/>
    <w:rsid w:val="00E371DB"/>
    <w:rsid w:val="00E37BF6"/>
    <w:rsid w:val="00E41384"/>
    <w:rsid w:val="00E42A8F"/>
    <w:rsid w:val="00E44221"/>
    <w:rsid w:val="00E451A9"/>
    <w:rsid w:val="00E50A21"/>
    <w:rsid w:val="00E50FB6"/>
    <w:rsid w:val="00E52036"/>
    <w:rsid w:val="00E56193"/>
    <w:rsid w:val="00E56979"/>
    <w:rsid w:val="00E61AD5"/>
    <w:rsid w:val="00E62C93"/>
    <w:rsid w:val="00E643B4"/>
    <w:rsid w:val="00E667D3"/>
    <w:rsid w:val="00E66B74"/>
    <w:rsid w:val="00E72610"/>
    <w:rsid w:val="00E749D3"/>
    <w:rsid w:val="00E74DB5"/>
    <w:rsid w:val="00E74F38"/>
    <w:rsid w:val="00E805D2"/>
    <w:rsid w:val="00E8064A"/>
    <w:rsid w:val="00E9078C"/>
    <w:rsid w:val="00E91C62"/>
    <w:rsid w:val="00E93419"/>
    <w:rsid w:val="00E953ED"/>
    <w:rsid w:val="00E958A7"/>
    <w:rsid w:val="00EA2CC4"/>
    <w:rsid w:val="00EA4250"/>
    <w:rsid w:val="00EA475D"/>
    <w:rsid w:val="00EB103F"/>
    <w:rsid w:val="00EB1846"/>
    <w:rsid w:val="00EB2AE3"/>
    <w:rsid w:val="00EB3B1B"/>
    <w:rsid w:val="00EB6BC1"/>
    <w:rsid w:val="00EC057B"/>
    <w:rsid w:val="00EC1C24"/>
    <w:rsid w:val="00EC5668"/>
    <w:rsid w:val="00ED360D"/>
    <w:rsid w:val="00ED67DC"/>
    <w:rsid w:val="00EE1D90"/>
    <w:rsid w:val="00EE4931"/>
    <w:rsid w:val="00EE4F3F"/>
    <w:rsid w:val="00EE71D7"/>
    <w:rsid w:val="00EF14B5"/>
    <w:rsid w:val="00EF19D3"/>
    <w:rsid w:val="00EF19FA"/>
    <w:rsid w:val="00EF3721"/>
    <w:rsid w:val="00EF4486"/>
    <w:rsid w:val="00F04F47"/>
    <w:rsid w:val="00F05D9C"/>
    <w:rsid w:val="00F0646F"/>
    <w:rsid w:val="00F10453"/>
    <w:rsid w:val="00F1073D"/>
    <w:rsid w:val="00F13E43"/>
    <w:rsid w:val="00F1421E"/>
    <w:rsid w:val="00F14F37"/>
    <w:rsid w:val="00F15E47"/>
    <w:rsid w:val="00F22346"/>
    <w:rsid w:val="00F229E4"/>
    <w:rsid w:val="00F27067"/>
    <w:rsid w:val="00F275E7"/>
    <w:rsid w:val="00F27A32"/>
    <w:rsid w:val="00F30563"/>
    <w:rsid w:val="00F31427"/>
    <w:rsid w:val="00F41C4C"/>
    <w:rsid w:val="00F500F9"/>
    <w:rsid w:val="00F5180C"/>
    <w:rsid w:val="00F53641"/>
    <w:rsid w:val="00F5495D"/>
    <w:rsid w:val="00F561F2"/>
    <w:rsid w:val="00F6505B"/>
    <w:rsid w:val="00F673B2"/>
    <w:rsid w:val="00F6789E"/>
    <w:rsid w:val="00F70C21"/>
    <w:rsid w:val="00F7182C"/>
    <w:rsid w:val="00F71B21"/>
    <w:rsid w:val="00F72A63"/>
    <w:rsid w:val="00F73381"/>
    <w:rsid w:val="00F762E4"/>
    <w:rsid w:val="00F768B6"/>
    <w:rsid w:val="00F8085E"/>
    <w:rsid w:val="00F81FCA"/>
    <w:rsid w:val="00F82CFA"/>
    <w:rsid w:val="00F87933"/>
    <w:rsid w:val="00F87A0A"/>
    <w:rsid w:val="00F91BAF"/>
    <w:rsid w:val="00FA01C4"/>
    <w:rsid w:val="00FA2264"/>
    <w:rsid w:val="00FA2933"/>
    <w:rsid w:val="00FA3F62"/>
    <w:rsid w:val="00FA480A"/>
    <w:rsid w:val="00FA7B46"/>
    <w:rsid w:val="00FB01DE"/>
    <w:rsid w:val="00FB031B"/>
    <w:rsid w:val="00FB21FA"/>
    <w:rsid w:val="00FB3D0F"/>
    <w:rsid w:val="00FC0EAB"/>
    <w:rsid w:val="00FC528E"/>
    <w:rsid w:val="00FC552C"/>
    <w:rsid w:val="00FD1398"/>
    <w:rsid w:val="00FD1834"/>
    <w:rsid w:val="00FD24E8"/>
    <w:rsid w:val="00FD4E83"/>
    <w:rsid w:val="00FD5609"/>
    <w:rsid w:val="00FE5FAE"/>
    <w:rsid w:val="00FE6A7B"/>
    <w:rsid w:val="00FE6F12"/>
    <w:rsid w:val="00FF0FBD"/>
    <w:rsid w:val="00FF1C42"/>
    <w:rsid w:val="00FF3476"/>
    <w:rsid w:val="00FF58AA"/>
    <w:rsid w:val="02D432A2"/>
    <w:rsid w:val="076279E1"/>
    <w:rsid w:val="084A64CF"/>
    <w:rsid w:val="08CC0577"/>
    <w:rsid w:val="09F576EB"/>
    <w:rsid w:val="10A8156B"/>
    <w:rsid w:val="1268210C"/>
    <w:rsid w:val="12AE2F7B"/>
    <w:rsid w:val="19394989"/>
    <w:rsid w:val="1CBE4DDC"/>
    <w:rsid w:val="1E753C0F"/>
    <w:rsid w:val="21490F06"/>
    <w:rsid w:val="24121B90"/>
    <w:rsid w:val="243C1CB1"/>
    <w:rsid w:val="268A063F"/>
    <w:rsid w:val="27B80207"/>
    <w:rsid w:val="29C869CF"/>
    <w:rsid w:val="3287059C"/>
    <w:rsid w:val="33F40473"/>
    <w:rsid w:val="3A6771FE"/>
    <w:rsid w:val="3FF03B3C"/>
    <w:rsid w:val="4CEC603F"/>
    <w:rsid w:val="4D761E2D"/>
    <w:rsid w:val="4F2130D8"/>
    <w:rsid w:val="51C250AF"/>
    <w:rsid w:val="53CF5904"/>
    <w:rsid w:val="55CC2F32"/>
    <w:rsid w:val="563855C5"/>
    <w:rsid w:val="5C311D4D"/>
    <w:rsid w:val="6048651A"/>
    <w:rsid w:val="62AB0F72"/>
    <w:rsid w:val="64AE220C"/>
    <w:rsid w:val="6BB2284B"/>
    <w:rsid w:val="6D7D4DE5"/>
    <w:rsid w:val="74894A36"/>
    <w:rsid w:val="77E907E1"/>
    <w:rsid w:val="7956498D"/>
    <w:rsid w:val="79E104AA"/>
    <w:rsid w:val="7A83397E"/>
    <w:rsid w:val="7E576AF0"/>
    <w:rsid w:val="7E7036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60" w:lineRule="atLeast"/>
      <w:jc w:val="both"/>
      <w:textAlignment w:val="baseline"/>
    </w:pPr>
    <w:rPr>
      <w:rFonts w:ascii="Times New Roman" w:hAnsi="Times New Roman" w:eastAsia="宋体" w:cs="Times New Roman"/>
      <w:lang w:val="en-US" w:eastAsia="en-US" w:bidi="ar-SA"/>
    </w:rPr>
  </w:style>
  <w:style w:type="paragraph" w:styleId="2">
    <w:name w:val="heading 1"/>
    <w:basedOn w:val="1"/>
    <w:next w:val="1"/>
    <w:link w:val="29"/>
    <w:autoRedefine/>
    <w:qFormat/>
    <w:uiPriority w:val="99"/>
    <w:pPr>
      <w:keepNext/>
      <w:numPr>
        <w:ilvl w:val="0"/>
        <w:numId w:val="1"/>
      </w:numPr>
      <w:outlineLvl w:val="0"/>
    </w:pPr>
    <w:rPr>
      <w:sz w:val="24"/>
      <w:szCs w:val="24"/>
    </w:rPr>
  </w:style>
  <w:style w:type="paragraph" w:styleId="3">
    <w:name w:val="heading 2"/>
    <w:basedOn w:val="1"/>
    <w:next w:val="1"/>
    <w:link w:val="30"/>
    <w:autoRedefine/>
    <w:qFormat/>
    <w:uiPriority w:val="99"/>
    <w:pPr>
      <w:keepNext/>
      <w:numPr>
        <w:ilvl w:val="1"/>
        <w:numId w:val="1"/>
      </w:numPr>
      <w:outlineLvl w:val="1"/>
    </w:pPr>
    <w:rPr>
      <w:b/>
      <w:bCs/>
      <w:sz w:val="24"/>
      <w:szCs w:val="24"/>
    </w:rPr>
  </w:style>
  <w:style w:type="paragraph" w:styleId="4">
    <w:name w:val="heading 3"/>
    <w:basedOn w:val="1"/>
    <w:next w:val="1"/>
    <w:link w:val="31"/>
    <w:autoRedefine/>
    <w:qFormat/>
    <w:uiPriority w:val="99"/>
    <w:pPr>
      <w:keepNext/>
      <w:numPr>
        <w:ilvl w:val="2"/>
        <w:numId w:val="1"/>
      </w:numPr>
      <w:outlineLvl w:val="2"/>
    </w:pPr>
    <w:rPr>
      <w:sz w:val="24"/>
      <w:szCs w:val="24"/>
    </w:rPr>
  </w:style>
  <w:style w:type="paragraph" w:styleId="5">
    <w:name w:val="heading 4"/>
    <w:basedOn w:val="1"/>
    <w:next w:val="1"/>
    <w:link w:val="32"/>
    <w:autoRedefine/>
    <w:qFormat/>
    <w:uiPriority w:val="99"/>
    <w:pPr>
      <w:keepNext/>
      <w:numPr>
        <w:ilvl w:val="3"/>
        <w:numId w:val="1"/>
      </w:numPr>
      <w:jc w:val="center"/>
      <w:outlineLvl w:val="3"/>
    </w:pPr>
    <w:rPr>
      <w:sz w:val="24"/>
      <w:szCs w:val="24"/>
    </w:rPr>
  </w:style>
  <w:style w:type="paragraph" w:styleId="6">
    <w:name w:val="heading 5"/>
    <w:basedOn w:val="1"/>
    <w:next w:val="1"/>
    <w:link w:val="33"/>
    <w:autoRedefine/>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34"/>
    <w:autoRedefine/>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autoRedefine/>
    <w:qFormat/>
    <w:uiPriority w:val="99"/>
    <w:pPr>
      <w:keepNext/>
      <w:keepLines/>
      <w:numPr>
        <w:ilvl w:val="6"/>
        <w:numId w:val="1"/>
      </w:numPr>
      <w:spacing w:before="240" w:after="64" w:line="320" w:lineRule="auto"/>
      <w:outlineLvl w:val="6"/>
    </w:pPr>
    <w:rPr>
      <w:b/>
      <w:bCs/>
      <w:sz w:val="24"/>
      <w:szCs w:val="24"/>
    </w:rPr>
  </w:style>
  <w:style w:type="paragraph" w:styleId="9">
    <w:name w:val="heading 8"/>
    <w:basedOn w:val="1"/>
    <w:next w:val="1"/>
    <w:link w:val="36"/>
    <w:autoRedefine/>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autoRedefine/>
    <w:qFormat/>
    <w:uiPriority w:val="99"/>
    <w:pPr>
      <w:keepNext/>
      <w:keepLines/>
      <w:numPr>
        <w:ilvl w:val="8"/>
        <w:numId w:val="1"/>
      </w:numPr>
      <w:spacing w:before="240" w:after="64" w:line="320" w:lineRule="auto"/>
      <w:outlineLvl w:val="8"/>
    </w:pPr>
    <w:rPr>
      <w:rFonts w:ascii="Arial" w:hAnsi="Arial" w:eastAsia="黑体" w:cs="Arial"/>
      <w:sz w:val="21"/>
      <w:szCs w:val="21"/>
    </w:rPr>
  </w:style>
  <w:style w:type="character" w:default="1" w:styleId="26">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8"/>
    <w:autoRedefine/>
    <w:semiHidden/>
    <w:qFormat/>
    <w:uiPriority w:val="99"/>
    <w:pPr>
      <w:jc w:val="left"/>
    </w:pPr>
  </w:style>
  <w:style w:type="paragraph" w:styleId="12">
    <w:name w:val="Body Text 3"/>
    <w:basedOn w:val="1"/>
    <w:link w:val="45"/>
    <w:autoRedefine/>
    <w:qFormat/>
    <w:uiPriority w:val="99"/>
    <w:pPr>
      <w:adjustRightInd/>
      <w:spacing w:after="120" w:line="240" w:lineRule="auto"/>
      <w:textAlignment w:val="auto"/>
    </w:pPr>
    <w:rPr>
      <w:kern w:val="2"/>
      <w:sz w:val="16"/>
      <w:szCs w:val="16"/>
      <w:lang w:eastAsia="zh-CN"/>
    </w:rPr>
  </w:style>
  <w:style w:type="paragraph" w:styleId="13">
    <w:name w:val="Body Text"/>
    <w:basedOn w:val="1"/>
    <w:link w:val="43"/>
    <w:autoRedefine/>
    <w:qFormat/>
    <w:uiPriority w:val="99"/>
    <w:pPr>
      <w:adjustRightInd/>
      <w:spacing w:after="120" w:line="240" w:lineRule="auto"/>
      <w:textAlignment w:val="auto"/>
    </w:pPr>
    <w:rPr>
      <w:kern w:val="2"/>
      <w:sz w:val="21"/>
      <w:szCs w:val="21"/>
      <w:lang w:eastAsia="zh-CN"/>
    </w:rPr>
  </w:style>
  <w:style w:type="paragraph" w:styleId="14">
    <w:name w:val="Body Text Indent"/>
    <w:basedOn w:val="1"/>
    <w:link w:val="41"/>
    <w:autoRedefine/>
    <w:qFormat/>
    <w:uiPriority w:val="99"/>
    <w:pPr>
      <w:widowControl/>
      <w:autoSpaceDE w:val="0"/>
      <w:autoSpaceDN w:val="0"/>
      <w:adjustRightInd/>
      <w:spacing w:line="240" w:lineRule="auto"/>
      <w:jc w:val="left"/>
      <w:textAlignment w:val="auto"/>
    </w:pPr>
    <w:rPr>
      <w:rFonts w:ascii="Agfa Rotis Semisans" w:hAnsi="Agfa Rotis Semisans" w:cs="Agfa Rotis Semisans"/>
      <w:sz w:val="24"/>
      <w:szCs w:val="24"/>
    </w:rPr>
  </w:style>
  <w:style w:type="paragraph" w:styleId="15">
    <w:name w:val="Date"/>
    <w:basedOn w:val="1"/>
    <w:next w:val="1"/>
    <w:link w:val="44"/>
    <w:autoRedefine/>
    <w:qFormat/>
    <w:uiPriority w:val="99"/>
    <w:pPr>
      <w:widowControl/>
      <w:adjustRightInd/>
      <w:spacing w:line="240" w:lineRule="auto"/>
      <w:jc w:val="left"/>
      <w:textAlignment w:val="auto"/>
    </w:pPr>
    <w:rPr>
      <w:rFonts w:ascii="Arial" w:hAnsi="Arial" w:cs="Arial"/>
      <w:color w:val="000000"/>
      <w:kern w:val="2"/>
      <w:sz w:val="24"/>
      <w:szCs w:val="24"/>
      <w:lang w:eastAsia="zh-CN"/>
    </w:rPr>
  </w:style>
  <w:style w:type="paragraph" w:styleId="16">
    <w:name w:val="Body Text Indent 2"/>
    <w:basedOn w:val="1"/>
    <w:link w:val="46"/>
    <w:autoRedefine/>
    <w:qFormat/>
    <w:uiPriority w:val="99"/>
    <w:pPr>
      <w:spacing w:after="120" w:line="480" w:lineRule="auto"/>
      <w:ind w:left="360"/>
    </w:pPr>
  </w:style>
  <w:style w:type="paragraph" w:styleId="17">
    <w:name w:val="Balloon Text"/>
    <w:basedOn w:val="1"/>
    <w:link w:val="40"/>
    <w:autoRedefine/>
    <w:semiHidden/>
    <w:qFormat/>
    <w:uiPriority w:val="99"/>
    <w:rPr>
      <w:rFonts w:ascii="Tahoma" w:hAnsi="Tahoma" w:cs="Tahoma"/>
      <w:sz w:val="16"/>
      <w:szCs w:val="16"/>
    </w:rPr>
  </w:style>
  <w:style w:type="paragraph" w:styleId="18">
    <w:name w:val="footer"/>
    <w:basedOn w:val="1"/>
    <w:link w:val="38"/>
    <w:autoRedefine/>
    <w:qFormat/>
    <w:uiPriority w:val="99"/>
    <w:pPr>
      <w:tabs>
        <w:tab w:val="center" w:pos="4320"/>
        <w:tab w:val="right" w:pos="8640"/>
      </w:tabs>
    </w:pPr>
  </w:style>
  <w:style w:type="paragraph" w:styleId="19">
    <w:name w:val="header"/>
    <w:basedOn w:val="1"/>
    <w:link w:val="39"/>
    <w:autoRedefine/>
    <w:qFormat/>
    <w:uiPriority w:val="99"/>
    <w:pPr>
      <w:tabs>
        <w:tab w:val="center" w:pos="4320"/>
        <w:tab w:val="right" w:pos="8640"/>
      </w:tabs>
    </w:pPr>
  </w:style>
  <w:style w:type="paragraph" w:styleId="20">
    <w:name w:val="Body Text Indent 3"/>
    <w:basedOn w:val="1"/>
    <w:link w:val="42"/>
    <w:autoRedefine/>
    <w:qFormat/>
    <w:uiPriority w:val="99"/>
    <w:pPr>
      <w:adjustRightInd/>
      <w:spacing w:after="120" w:line="240" w:lineRule="auto"/>
      <w:ind w:left="420" w:leftChars="200"/>
      <w:textAlignment w:val="auto"/>
    </w:pPr>
    <w:rPr>
      <w:kern w:val="2"/>
      <w:sz w:val="16"/>
      <w:szCs w:val="16"/>
      <w:lang w:eastAsia="zh-CN"/>
    </w:rPr>
  </w:style>
  <w:style w:type="paragraph" w:styleId="21">
    <w:name w:val="Title"/>
    <w:basedOn w:val="1"/>
    <w:link w:val="47"/>
    <w:autoRedefine/>
    <w:qFormat/>
    <w:uiPriority w:val="99"/>
    <w:pPr>
      <w:widowControl/>
      <w:adjustRightInd/>
      <w:spacing w:line="240" w:lineRule="auto"/>
      <w:jc w:val="center"/>
      <w:textAlignment w:val="auto"/>
    </w:pPr>
    <w:rPr>
      <w:b/>
      <w:bCs/>
      <w:sz w:val="28"/>
      <w:szCs w:val="28"/>
      <w:lang w:eastAsia="zh-CN"/>
    </w:rPr>
  </w:style>
  <w:style w:type="paragraph" w:styleId="22">
    <w:name w:val="annotation subject"/>
    <w:basedOn w:val="11"/>
    <w:next w:val="11"/>
    <w:link w:val="49"/>
    <w:autoRedefine/>
    <w:semiHidden/>
    <w:qFormat/>
    <w:uiPriority w:val="99"/>
    <w:rPr>
      <w:b/>
      <w:bCs/>
    </w:rPr>
  </w:style>
  <w:style w:type="table" w:styleId="24">
    <w:name w:val="Table Grid"/>
    <w:basedOn w:val="2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5">
    <w:name w:val="Table Theme"/>
    <w:basedOn w:val="23"/>
    <w:autoRedefine/>
    <w:qFormat/>
    <w:uiPriority w:val="99"/>
    <w:pPr>
      <w:widowControl w:val="0"/>
      <w:adjustRightInd w:val="0"/>
      <w:spacing w:line="360"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autoRedefine/>
    <w:qFormat/>
    <w:uiPriority w:val="99"/>
  </w:style>
  <w:style w:type="character" w:styleId="28">
    <w:name w:val="annotation reference"/>
    <w:basedOn w:val="26"/>
    <w:autoRedefine/>
    <w:semiHidden/>
    <w:qFormat/>
    <w:uiPriority w:val="99"/>
    <w:rPr>
      <w:sz w:val="21"/>
      <w:szCs w:val="21"/>
    </w:rPr>
  </w:style>
  <w:style w:type="character" w:customStyle="1" w:styleId="29">
    <w:name w:val="标题 1 Char"/>
    <w:basedOn w:val="26"/>
    <w:link w:val="2"/>
    <w:autoRedefine/>
    <w:qFormat/>
    <w:locked/>
    <w:uiPriority w:val="99"/>
    <w:rPr>
      <w:b/>
      <w:bCs/>
      <w:kern w:val="44"/>
      <w:sz w:val="44"/>
      <w:szCs w:val="44"/>
      <w:lang w:eastAsia="en-US"/>
    </w:rPr>
  </w:style>
  <w:style w:type="character" w:customStyle="1" w:styleId="30">
    <w:name w:val="标题 2 Char"/>
    <w:basedOn w:val="26"/>
    <w:link w:val="3"/>
    <w:autoRedefine/>
    <w:semiHidden/>
    <w:qFormat/>
    <w:locked/>
    <w:uiPriority w:val="99"/>
    <w:rPr>
      <w:rFonts w:ascii="Cambria" w:hAnsi="Cambria" w:eastAsia="宋体" w:cs="Cambria"/>
      <w:b/>
      <w:bCs/>
      <w:kern w:val="0"/>
      <w:sz w:val="32"/>
      <w:szCs w:val="32"/>
      <w:lang w:eastAsia="en-US"/>
    </w:rPr>
  </w:style>
  <w:style w:type="character" w:customStyle="1" w:styleId="31">
    <w:name w:val="标题 3 Char"/>
    <w:basedOn w:val="26"/>
    <w:link w:val="4"/>
    <w:autoRedefine/>
    <w:semiHidden/>
    <w:qFormat/>
    <w:locked/>
    <w:uiPriority w:val="99"/>
    <w:rPr>
      <w:b/>
      <w:bCs/>
      <w:kern w:val="0"/>
      <w:sz w:val="32"/>
      <w:szCs w:val="32"/>
      <w:lang w:eastAsia="en-US"/>
    </w:rPr>
  </w:style>
  <w:style w:type="character" w:customStyle="1" w:styleId="32">
    <w:name w:val="标题 4 Char"/>
    <w:basedOn w:val="26"/>
    <w:link w:val="5"/>
    <w:autoRedefine/>
    <w:semiHidden/>
    <w:qFormat/>
    <w:locked/>
    <w:uiPriority w:val="99"/>
    <w:rPr>
      <w:rFonts w:ascii="Cambria" w:hAnsi="Cambria" w:eastAsia="宋体" w:cs="Cambria"/>
      <w:b/>
      <w:bCs/>
      <w:kern w:val="0"/>
      <w:sz w:val="28"/>
      <w:szCs w:val="28"/>
      <w:lang w:eastAsia="en-US"/>
    </w:rPr>
  </w:style>
  <w:style w:type="character" w:customStyle="1" w:styleId="33">
    <w:name w:val="标题 5 Char"/>
    <w:basedOn w:val="26"/>
    <w:link w:val="6"/>
    <w:autoRedefine/>
    <w:semiHidden/>
    <w:qFormat/>
    <w:locked/>
    <w:uiPriority w:val="99"/>
    <w:rPr>
      <w:b/>
      <w:bCs/>
      <w:kern w:val="0"/>
      <w:sz w:val="28"/>
      <w:szCs w:val="28"/>
      <w:lang w:eastAsia="en-US"/>
    </w:rPr>
  </w:style>
  <w:style w:type="character" w:customStyle="1" w:styleId="34">
    <w:name w:val="标题 6 Char"/>
    <w:basedOn w:val="26"/>
    <w:link w:val="7"/>
    <w:autoRedefine/>
    <w:semiHidden/>
    <w:qFormat/>
    <w:locked/>
    <w:uiPriority w:val="99"/>
    <w:rPr>
      <w:rFonts w:ascii="Cambria" w:hAnsi="Cambria" w:eastAsia="宋体" w:cs="Cambria"/>
      <w:b/>
      <w:bCs/>
      <w:kern w:val="0"/>
      <w:sz w:val="24"/>
      <w:szCs w:val="24"/>
      <w:lang w:eastAsia="en-US"/>
    </w:rPr>
  </w:style>
  <w:style w:type="character" w:customStyle="1" w:styleId="35">
    <w:name w:val="标题 7 Char"/>
    <w:basedOn w:val="26"/>
    <w:link w:val="8"/>
    <w:autoRedefine/>
    <w:semiHidden/>
    <w:qFormat/>
    <w:locked/>
    <w:uiPriority w:val="99"/>
    <w:rPr>
      <w:b/>
      <w:bCs/>
      <w:kern w:val="0"/>
      <w:sz w:val="24"/>
      <w:szCs w:val="24"/>
      <w:lang w:eastAsia="en-US"/>
    </w:rPr>
  </w:style>
  <w:style w:type="character" w:customStyle="1" w:styleId="36">
    <w:name w:val="标题 8 Char"/>
    <w:basedOn w:val="26"/>
    <w:link w:val="9"/>
    <w:autoRedefine/>
    <w:semiHidden/>
    <w:qFormat/>
    <w:locked/>
    <w:uiPriority w:val="99"/>
    <w:rPr>
      <w:rFonts w:ascii="Cambria" w:hAnsi="Cambria" w:eastAsia="宋体" w:cs="Cambria"/>
      <w:kern w:val="0"/>
      <w:sz w:val="24"/>
      <w:szCs w:val="24"/>
      <w:lang w:eastAsia="en-US"/>
    </w:rPr>
  </w:style>
  <w:style w:type="character" w:customStyle="1" w:styleId="37">
    <w:name w:val="标题 9 Char"/>
    <w:basedOn w:val="26"/>
    <w:link w:val="10"/>
    <w:autoRedefine/>
    <w:semiHidden/>
    <w:qFormat/>
    <w:locked/>
    <w:uiPriority w:val="99"/>
    <w:rPr>
      <w:rFonts w:ascii="Cambria" w:hAnsi="Cambria" w:eastAsia="宋体" w:cs="Cambria"/>
      <w:kern w:val="0"/>
      <w:sz w:val="21"/>
      <w:szCs w:val="21"/>
      <w:lang w:eastAsia="en-US"/>
    </w:rPr>
  </w:style>
  <w:style w:type="character" w:customStyle="1" w:styleId="38">
    <w:name w:val="页脚 Char"/>
    <w:basedOn w:val="26"/>
    <w:link w:val="18"/>
    <w:autoRedefine/>
    <w:qFormat/>
    <w:locked/>
    <w:uiPriority w:val="99"/>
    <w:rPr>
      <w:kern w:val="0"/>
      <w:sz w:val="18"/>
      <w:szCs w:val="18"/>
      <w:lang w:eastAsia="en-US"/>
    </w:rPr>
  </w:style>
  <w:style w:type="character" w:customStyle="1" w:styleId="39">
    <w:name w:val="页眉 Char"/>
    <w:basedOn w:val="26"/>
    <w:link w:val="19"/>
    <w:autoRedefine/>
    <w:semiHidden/>
    <w:qFormat/>
    <w:locked/>
    <w:uiPriority w:val="99"/>
    <w:rPr>
      <w:kern w:val="0"/>
      <w:sz w:val="18"/>
      <w:szCs w:val="18"/>
      <w:lang w:eastAsia="en-US"/>
    </w:rPr>
  </w:style>
  <w:style w:type="character" w:customStyle="1" w:styleId="40">
    <w:name w:val="批注框文本 Char"/>
    <w:basedOn w:val="26"/>
    <w:link w:val="17"/>
    <w:autoRedefine/>
    <w:semiHidden/>
    <w:qFormat/>
    <w:locked/>
    <w:uiPriority w:val="99"/>
    <w:rPr>
      <w:kern w:val="0"/>
      <w:sz w:val="2"/>
      <w:szCs w:val="2"/>
      <w:lang w:eastAsia="en-US"/>
    </w:rPr>
  </w:style>
  <w:style w:type="character" w:customStyle="1" w:styleId="41">
    <w:name w:val="正文文本缩进 Char"/>
    <w:basedOn w:val="26"/>
    <w:link w:val="14"/>
    <w:autoRedefine/>
    <w:semiHidden/>
    <w:qFormat/>
    <w:locked/>
    <w:uiPriority w:val="99"/>
    <w:rPr>
      <w:kern w:val="0"/>
      <w:sz w:val="20"/>
      <w:szCs w:val="20"/>
      <w:lang w:eastAsia="en-US"/>
    </w:rPr>
  </w:style>
  <w:style w:type="character" w:customStyle="1" w:styleId="42">
    <w:name w:val="正文文本缩进 3 Char"/>
    <w:basedOn w:val="26"/>
    <w:link w:val="20"/>
    <w:autoRedefine/>
    <w:semiHidden/>
    <w:qFormat/>
    <w:locked/>
    <w:uiPriority w:val="99"/>
    <w:rPr>
      <w:kern w:val="0"/>
      <w:sz w:val="16"/>
      <w:szCs w:val="16"/>
      <w:lang w:eastAsia="en-US"/>
    </w:rPr>
  </w:style>
  <w:style w:type="character" w:customStyle="1" w:styleId="43">
    <w:name w:val="正文文本 Char"/>
    <w:basedOn w:val="26"/>
    <w:link w:val="13"/>
    <w:autoRedefine/>
    <w:semiHidden/>
    <w:qFormat/>
    <w:locked/>
    <w:uiPriority w:val="99"/>
    <w:rPr>
      <w:kern w:val="0"/>
      <w:sz w:val="20"/>
      <w:szCs w:val="20"/>
      <w:lang w:eastAsia="en-US"/>
    </w:rPr>
  </w:style>
  <w:style w:type="character" w:customStyle="1" w:styleId="44">
    <w:name w:val="日期 Char"/>
    <w:basedOn w:val="26"/>
    <w:link w:val="15"/>
    <w:autoRedefine/>
    <w:semiHidden/>
    <w:qFormat/>
    <w:locked/>
    <w:uiPriority w:val="99"/>
    <w:rPr>
      <w:kern w:val="0"/>
      <w:sz w:val="20"/>
      <w:szCs w:val="20"/>
      <w:lang w:eastAsia="en-US"/>
    </w:rPr>
  </w:style>
  <w:style w:type="character" w:customStyle="1" w:styleId="45">
    <w:name w:val="正文文本 3 Char"/>
    <w:basedOn w:val="26"/>
    <w:link w:val="12"/>
    <w:autoRedefine/>
    <w:semiHidden/>
    <w:qFormat/>
    <w:locked/>
    <w:uiPriority w:val="99"/>
    <w:rPr>
      <w:kern w:val="0"/>
      <w:sz w:val="16"/>
      <w:szCs w:val="16"/>
      <w:lang w:eastAsia="en-US"/>
    </w:rPr>
  </w:style>
  <w:style w:type="character" w:customStyle="1" w:styleId="46">
    <w:name w:val="正文文本缩进 2 Char"/>
    <w:basedOn w:val="26"/>
    <w:link w:val="16"/>
    <w:autoRedefine/>
    <w:semiHidden/>
    <w:qFormat/>
    <w:locked/>
    <w:uiPriority w:val="99"/>
    <w:rPr>
      <w:kern w:val="0"/>
      <w:sz w:val="20"/>
      <w:szCs w:val="20"/>
      <w:lang w:eastAsia="en-US"/>
    </w:rPr>
  </w:style>
  <w:style w:type="character" w:customStyle="1" w:styleId="47">
    <w:name w:val="标题 Char"/>
    <w:basedOn w:val="26"/>
    <w:link w:val="21"/>
    <w:autoRedefine/>
    <w:qFormat/>
    <w:locked/>
    <w:uiPriority w:val="99"/>
    <w:rPr>
      <w:rFonts w:ascii="Cambria" w:hAnsi="Cambria" w:cs="Cambria"/>
      <w:b/>
      <w:bCs/>
      <w:kern w:val="0"/>
      <w:sz w:val="32"/>
      <w:szCs w:val="32"/>
      <w:lang w:eastAsia="en-US"/>
    </w:rPr>
  </w:style>
  <w:style w:type="character" w:customStyle="1" w:styleId="48">
    <w:name w:val="批注文字 Char"/>
    <w:basedOn w:val="26"/>
    <w:link w:val="11"/>
    <w:autoRedefine/>
    <w:qFormat/>
    <w:locked/>
    <w:uiPriority w:val="99"/>
    <w:rPr>
      <w:lang w:eastAsia="en-US"/>
    </w:rPr>
  </w:style>
  <w:style w:type="character" w:customStyle="1" w:styleId="49">
    <w:name w:val="批注主题 Char"/>
    <w:basedOn w:val="48"/>
    <w:link w:val="22"/>
    <w:autoRedefine/>
    <w:qFormat/>
    <w:locked/>
    <w:uiPriority w:val="99"/>
    <w:rPr>
      <w:b/>
      <w:bCs/>
      <w:lang w:eastAsia="en-US"/>
    </w:rPr>
  </w:style>
  <w:style w:type="character" w:customStyle="1" w:styleId="50">
    <w:name w:val="Char Char1"/>
    <w:basedOn w:val="26"/>
    <w:autoRedefine/>
    <w:qFormat/>
    <w:uiPriority w:val="99"/>
    <w:rPr>
      <w:rFonts w:eastAsia="仿宋_GB2312"/>
      <w:sz w:val="28"/>
      <w:szCs w:val="28"/>
    </w:rPr>
  </w:style>
  <w:style w:type="paragraph" w:customStyle="1" w:styleId="51">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列出段落1"/>
    <w:basedOn w:val="1"/>
    <w:autoRedefine/>
    <w:qFormat/>
    <w:uiPriority w:val="34"/>
    <w:pPr>
      <w:adjustRightInd/>
      <w:spacing w:line="240" w:lineRule="auto"/>
      <w:ind w:firstLine="420" w:firstLineChars="200"/>
      <w:textAlignment w:val="auto"/>
    </w:pPr>
    <w:rPr>
      <w:rFonts w:ascii="Calibri" w:hAnsi="Calibri"/>
      <w:kern w:val="2"/>
      <w:sz w:val="21"/>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03D73-ACAF-4B9D-97EF-1D91771A2795}">
  <ds:schemaRefs/>
</ds:datastoreItem>
</file>

<file path=docProps/app.xml><?xml version="1.0" encoding="utf-8"?>
<Properties xmlns="http://schemas.openxmlformats.org/officeDocument/2006/extended-properties" xmlns:vt="http://schemas.openxmlformats.org/officeDocument/2006/docPropsVTypes">
  <Template>Normal</Template>
  <Pages>9</Pages>
  <Words>4216</Words>
  <Characters>4696</Characters>
  <Lines>40</Lines>
  <Paragraphs>11</Paragraphs>
  <TotalTime>9</TotalTime>
  <ScaleCrop>false</ScaleCrop>
  <LinksUpToDate>false</LinksUpToDate>
  <CharactersWithSpaces>5049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2018-04-03T07:16:00Z</dcterms:created>
  <dcterms:modified xsi:type="dcterms:W3CDTF">2024-01-26T04:14:02Z</dcterms:modified>
  <dc:title>临床研究协调员服务协议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844641FB85A84B94A1DA5135E02305A5_13</vt:lpwstr>
  </property>
</Properties>
</file>