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20"/>
        </w:tabs>
        <w:spacing w:line="900" w:lineRule="auto"/>
        <w:jc w:val="left"/>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合同编号：</w:t>
      </w:r>
    </w:p>
    <w:p>
      <w:pPr>
        <w:tabs>
          <w:tab w:val="left" w:pos="1620"/>
        </w:tabs>
        <w:spacing w:line="900" w:lineRule="auto"/>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lang w:eastAsia="zh-CN"/>
        </w:rPr>
        <w:t>药物</w:t>
      </w:r>
      <w:r>
        <w:rPr>
          <w:rFonts w:hint="eastAsia" w:asciiTheme="minorEastAsia" w:hAnsiTheme="minorEastAsia" w:eastAsiaTheme="minorEastAsia"/>
          <w:b/>
          <w:sz w:val="36"/>
          <w:szCs w:val="36"/>
        </w:rPr>
        <w:t>临床试验协议</w:t>
      </w:r>
      <w:bookmarkStart w:id="0" w:name="_GoBack"/>
      <w:bookmarkEnd w:id="0"/>
    </w:p>
    <w:p>
      <w:pPr>
        <w:tabs>
          <w:tab w:val="left" w:pos="1620"/>
        </w:tabs>
        <w:spacing w:line="900" w:lineRule="auto"/>
        <w:jc w:val="center"/>
        <w:rPr>
          <w:rFonts w:hint="eastAsia" w:asciiTheme="minorEastAsia" w:hAnsiTheme="minorEastAsia" w:eastAsiaTheme="minorEastAsia"/>
          <w:b/>
          <w:sz w:val="36"/>
          <w:szCs w:val="36"/>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17"/>
        <w:gridCol w:w="7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r>
              <w:rPr>
                <w:rFonts w:hint="eastAsia" w:asciiTheme="minorEastAsia" w:hAnsiTheme="minorEastAsia" w:eastAsiaTheme="minorEastAsia"/>
                <w:b/>
                <w:szCs w:val="28"/>
              </w:rPr>
              <w:t>项目名称:</w:t>
            </w:r>
            <w:r>
              <w:rPr>
                <w:rFonts w:hint="default" w:asciiTheme="minorEastAsia" w:hAnsiTheme="minorEastAsia" w:eastAsiaTheme="minorEastAsia"/>
                <w:b/>
                <w:szCs w:val="28"/>
              </w:rPr>
              <w:t xml:space="preserve"> </w:t>
            </w:r>
          </w:p>
        </w:tc>
        <w:tc>
          <w:tcPr>
            <w:tcW w:w="7438" w:type="dxa"/>
            <w:shd w:val="clear" w:color="auto" w:fill="FFFFFF"/>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lang w:eastAsia="zh-CN"/>
              </w:rPr>
            </w:pPr>
            <w:r>
              <w:rPr>
                <w:rFonts w:hint="eastAsia" w:asciiTheme="minorEastAsia" w:hAnsiTheme="minorEastAsia" w:eastAsiaTheme="minorEastAsia"/>
                <w:b/>
                <w:szCs w:val="28"/>
              </w:rPr>
              <w:t>药物名称：</w:t>
            </w:r>
          </w:p>
        </w:tc>
        <w:tc>
          <w:tcPr>
            <w:tcW w:w="7438" w:type="dxa"/>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r>
              <w:rPr>
                <w:rFonts w:hint="eastAsia" w:asciiTheme="minorEastAsia" w:hAnsiTheme="minorEastAsia" w:eastAsiaTheme="minorEastAsia"/>
                <w:b/>
                <w:szCs w:val="28"/>
                <w:vertAlign w:val="baseline"/>
                <w:lang w:eastAsia="zh-CN"/>
              </w:rPr>
              <w:t>方案编号：</w:t>
            </w:r>
          </w:p>
        </w:tc>
        <w:tc>
          <w:tcPr>
            <w:tcW w:w="7438" w:type="dxa"/>
            <w:shd w:val="clear" w:color="auto" w:fill="FFFFFF"/>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r>
              <w:rPr>
                <w:rFonts w:hint="eastAsia" w:asciiTheme="minorEastAsia" w:hAnsiTheme="minorEastAsia" w:eastAsiaTheme="minorEastAsia"/>
                <w:b/>
                <w:szCs w:val="28"/>
              </w:rPr>
              <w:t>临床试验批件号：</w:t>
            </w:r>
          </w:p>
        </w:tc>
        <w:tc>
          <w:tcPr>
            <w:tcW w:w="7438" w:type="dxa"/>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r>
              <w:rPr>
                <w:rFonts w:hint="eastAsia" w:asciiTheme="minorEastAsia" w:hAnsiTheme="minorEastAsia" w:eastAsiaTheme="minorEastAsia"/>
                <w:b/>
                <w:szCs w:val="28"/>
              </w:rPr>
              <w:t>试验分期：</w:t>
            </w:r>
          </w:p>
        </w:tc>
        <w:tc>
          <w:tcPr>
            <w:tcW w:w="7438" w:type="dxa"/>
            <w:shd w:val="clear" w:color="auto" w:fill="FFFFFF"/>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r>
              <w:rPr>
                <w:rFonts w:hint="eastAsia" w:asciiTheme="minorEastAsia" w:hAnsiTheme="minorEastAsia" w:eastAsiaTheme="minorEastAsia"/>
                <w:b/>
                <w:szCs w:val="28"/>
              </w:rPr>
              <w:t>注册分类：</w:t>
            </w:r>
          </w:p>
        </w:tc>
        <w:tc>
          <w:tcPr>
            <w:tcW w:w="7438" w:type="dxa"/>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r>
              <w:rPr>
                <w:rFonts w:hint="eastAsia" w:asciiTheme="minorEastAsia" w:hAnsiTheme="minorEastAsia" w:eastAsiaTheme="minorEastAsia"/>
                <w:b/>
                <w:szCs w:val="28"/>
              </w:rPr>
              <w:t>注册国家</w:t>
            </w:r>
            <w:r>
              <w:rPr>
                <w:rFonts w:hint="eastAsia" w:asciiTheme="minorEastAsia" w:hAnsiTheme="minorEastAsia" w:eastAsiaTheme="minorEastAsia"/>
                <w:color w:val="000000"/>
                <w:szCs w:val="28"/>
              </w:rPr>
              <w:t>：</w:t>
            </w:r>
          </w:p>
        </w:tc>
        <w:tc>
          <w:tcPr>
            <w:tcW w:w="7438" w:type="dxa"/>
            <w:shd w:val="clear" w:color="auto" w:fill="FFFFFF"/>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c>
          <w:tcPr>
            <w:tcW w:w="7438" w:type="dxa"/>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vAlign w:val="top"/>
          </w:tcPr>
          <w:p>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r>
              <w:rPr>
                <w:rFonts w:hint="eastAsia" w:asciiTheme="minorEastAsia" w:hAnsiTheme="minorEastAsia" w:eastAsiaTheme="minorEastAsia"/>
                <w:b/>
                <w:szCs w:val="28"/>
              </w:rPr>
              <w:t>申办者：</w:t>
            </w:r>
          </w:p>
        </w:tc>
        <w:tc>
          <w:tcPr>
            <w:tcW w:w="7438" w:type="dxa"/>
            <w:shd w:val="clear" w:color="auto" w:fill="FFFFFF"/>
            <w:vAlign w:val="top"/>
          </w:tcPr>
          <w:p>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vAlign w:val="top"/>
          </w:tcPr>
          <w:p>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r>
              <w:rPr>
                <w:rFonts w:hint="eastAsia" w:asciiTheme="minorEastAsia" w:hAnsiTheme="minorEastAsia" w:eastAsiaTheme="minorEastAsia"/>
                <w:b/>
                <w:szCs w:val="28"/>
              </w:rPr>
              <w:t>CRO:</w:t>
            </w:r>
          </w:p>
        </w:tc>
        <w:tc>
          <w:tcPr>
            <w:tcW w:w="7438" w:type="dxa"/>
            <w:vAlign w:val="top"/>
          </w:tcPr>
          <w:p>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vAlign w:val="top"/>
          </w:tcPr>
          <w:p>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p>
        </w:tc>
        <w:tc>
          <w:tcPr>
            <w:tcW w:w="7438" w:type="dxa"/>
            <w:shd w:val="clear" w:color="auto" w:fill="FFFFFF"/>
            <w:vAlign w:val="top"/>
          </w:tcPr>
          <w:p>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vAlign w:val="top"/>
          </w:tcPr>
          <w:p>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r>
              <w:rPr>
                <w:rFonts w:hint="eastAsia" w:asciiTheme="minorEastAsia" w:hAnsiTheme="minorEastAsia" w:eastAsiaTheme="minorEastAsia"/>
                <w:b/>
                <w:szCs w:val="28"/>
                <w:lang w:eastAsia="zh-CN"/>
              </w:rPr>
              <w:t>临床</w:t>
            </w:r>
            <w:r>
              <w:rPr>
                <w:rFonts w:hint="eastAsia" w:asciiTheme="minorEastAsia" w:hAnsiTheme="minorEastAsia" w:eastAsiaTheme="minorEastAsia"/>
                <w:b/>
                <w:szCs w:val="28"/>
              </w:rPr>
              <w:t>研究</w:t>
            </w:r>
            <w:r>
              <w:rPr>
                <w:rFonts w:hint="eastAsia" w:asciiTheme="minorEastAsia" w:hAnsiTheme="minorEastAsia" w:eastAsiaTheme="minorEastAsia"/>
                <w:b/>
                <w:szCs w:val="28"/>
                <w:lang w:eastAsia="zh-CN"/>
              </w:rPr>
              <w:t>机构</w:t>
            </w:r>
            <w:r>
              <w:rPr>
                <w:rFonts w:hint="eastAsia" w:asciiTheme="minorEastAsia" w:hAnsiTheme="minorEastAsia" w:eastAsiaTheme="minorEastAsia"/>
                <w:b/>
                <w:szCs w:val="28"/>
              </w:rPr>
              <w:t>：</w:t>
            </w:r>
          </w:p>
        </w:tc>
        <w:tc>
          <w:tcPr>
            <w:tcW w:w="7438" w:type="dxa"/>
            <w:vAlign w:val="top"/>
          </w:tcPr>
          <w:p>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17" w:type="dxa"/>
            <w:shd w:val="clear" w:color="auto" w:fill="FFFFFF"/>
            <w:vAlign w:val="top"/>
          </w:tcPr>
          <w:p>
            <w:pPr>
              <w:keepNext w:val="0"/>
              <w:keepLines w:val="0"/>
              <w:suppressLineNumbers w:val="0"/>
              <w:spacing w:before="0" w:beforeAutospacing="0" w:after="0" w:afterAutospacing="0" w:line="360" w:lineRule="auto"/>
              <w:ind w:left="0" w:right="0"/>
              <w:rPr>
                <w:rFonts w:hint="eastAsia" w:cs="Times New Roman" w:asciiTheme="minorEastAsia" w:hAnsiTheme="minorEastAsia" w:eastAsiaTheme="minorEastAsia"/>
                <w:b/>
                <w:sz w:val="28"/>
                <w:szCs w:val="28"/>
                <w:vertAlign w:val="baseline"/>
                <w:lang w:val="en-US" w:eastAsia="zh-CN" w:bidi="ar-SA"/>
              </w:rPr>
            </w:pPr>
            <w:r>
              <w:rPr>
                <w:rFonts w:hint="eastAsia" w:asciiTheme="minorEastAsia" w:hAnsiTheme="minorEastAsia" w:eastAsiaTheme="minorEastAsia"/>
                <w:b/>
                <w:szCs w:val="28"/>
              </w:rPr>
              <w:t>主要研究者：</w:t>
            </w:r>
          </w:p>
        </w:tc>
        <w:tc>
          <w:tcPr>
            <w:tcW w:w="7438" w:type="dxa"/>
            <w:shd w:val="clear" w:color="auto" w:fill="FFFFFF"/>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b/>
                <w:szCs w:val="28"/>
                <w:vertAlign w:val="baseline"/>
              </w:rPr>
            </w:pPr>
          </w:p>
        </w:tc>
      </w:tr>
    </w:tbl>
    <w:p>
      <w:pPr>
        <w:spacing w:line="360" w:lineRule="auto"/>
        <w:rPr>
          <w:rFonts w:hint="eastAsia" w:asciiTheme="minorEastAsia" w:hAnsiTheme="minorEastAsia" w:eastAsiaTheme="minorEastAsia"/>
          <w:b/>
          <w:szCs w:val="28"/>
        </w:rPr>
      </w:pPr>
    </w:p>
    <w:p>
      <w:pPr>
        <w:widowControl/>
        <w:adjustRightInd/>
        <w:spacing w:line="240" w:lineRule="auto"/>
        <w:jc w:val="left"/>
        <w:textAlignment w:val="auto"/>
        <w:rPr>
          <w:rFonts w:asciiTheme="minorEastAsia" w:hAnsiTheme="minorEastAsia" w:eastAsiaTheme="minorEastAsia"/>
          <w:b/>
          <w:szCs w:val="28"/>
        </w:rPr>
      </w:pPr>
      <w:r>
        <w:rPr>
          <w:rFonts w:asciiTheme="minorEastAsia" w:hAnsiTheme="minorEastAsia" w:eastAsiaTheme="minorEastAsia"/>
          <w:b/>
          <w:szCs w:val="28"/>
        </w:rPr>
        <w:br w:type="page"/>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本协议由以下三方签署：</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甲方（申办方）：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地址：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邮编：</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p>
      <w:pPr>
        <w:tabs>
          <w:tab w:val="left" w:pos="4395"/>
        </w:tabs>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联系电话：                      </w:t>
      </w:r>
      <w:r>
        <w:rPr>
          <w:rFonts w:hint="eastAsia" w:eastAsiaTheme="minorEastAsia"/>
          <w:sz w:val="24"/>
          <w:szCs w:val="24"/>
        </w:rPr>
        <w:t>E-mail</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乙方：深圳市第三人民医院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地址：广东省深圳市龙岗区布澜路29号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邮编：518012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主要研究者：                    专业组：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联系电话：                      </w:t>
      </w:r>
      <w:r>
        <w:rPr>
          <w:rFonts w:eastAsiaTheme="minorEastAsia"/>
          <w:sz w:val="24"/>
          <w:szCs w:val="24"/>
        </w:rPr>
        <w:t>E-mail：</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丙方（CRO）：</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地址：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邮编：</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联系电话：                      E-mail：</w:t>
      </w:r>
    </w:p>
    <w:p>
      <w:pPr>
        <w:keepNext w:val="0"/>
        <w:keepLines w:val="0"/>
        <w:pageBreakBefore w:val="0"/>
        <w:widowControl w:val="0"/>
        <w:kinsoku/>
        <w:wordWrap/>
        <w:overflowPunct/>
        <w:topLinePunct w:val="0"/>
        <w:bidi w:val="0"/>
        <w:snapToGrid/>
        <w:spacing w:line="360" w:lineRule="auto"/>
        <w:ind w:left="0" w:leftChars="0" w:firstLine="480" w:firstLineChars="200"/>
        <w:rPr>
          <w:rFonts w:asciiTheme="minorEastAsia" w:hAnsiTheme="minorEastAsia" w:eastAsiaTheme="minorEastAsia"/>
          <w:sz w:val="24"/>
          <w:szCs w:val="24"/>
        </w:rPr>
      </w:pPr>
    </w:p>
    <w:p>
      <w:pPr>
        <w:keepNext w:val="0"/>
        <w:keepLines w:val="0"/>
        <w:pageBreakBefore w:val="0"/>
        <w:widowControl w:val="0"/>
        <w:kinsoku/>
        <w:wordWrap/>
        <w:overflowPunct/>
        <w:topLinePunct w:val="0"/>
        <w:bidi w:val="0"/>
        <w:snapToGrid/>
        <w:spacing w:line="360" w:lineRule="auto"/>
        <w:ind w:left="0" w:leftChars="0"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根据国家药品监督管理局</w:t>
      </w:r>
      <w:r>
        <w:rPr>
          <w:rFonts w:hAnsiTheme="minorEastAsia" w:eastAsiaTheme="minorEastAsia"/>
          <w:sz w:val="24"/>
          <w:szCs w:val="24"/>
        </w:rPr>
        <w:t>（</w:t>
      </w:r>
      <w:r>
        <w:rPr>
          <w:rFonts w:hint="eastAsia" w:eastAsiaTheme="minorEastAsia"/>
          <w:sz w:val="24"/>
          <w:szCs w:val="24"/>
        </w:rPr>
        <w:t>NMPA</w:t>
      </w:r>
      <w:r>
        <w:rPr>
          <w:rFonts w:hAnsiTheme="minorEastAsia" w:eastAsiaTheme="minorEastAsia"/>
          <w:sz w:val="24"/>
          <w:szCs w:val="24"/>
        </w:rPr>
        <w:t>）</w:t>
      </w:r>
      <w:r>
        <w:rPr>
          <w:rFonts w:hint="eastAsia" w:asciiTheme="minorEastAsia" w:hAnsiTheme="minorEastAsia" w:eastAsiaTheme="minorEastAsia"/>
          <w:sz w:val="24"/>
          <w:szCs w:val="24"/>
        </w:rPr>
        <w:t>药物临床试验批件（批件号：</w:t>
      </w:r>
      <w:r>
        <w:rPr>
          <w:rFonts w:hint="eastAsia" w:eastAsiaTheme="minorEastAsia"/>
          <w:sz w:val="24"/>
          <w:szCs w:val="24"/>
        </w:rPr>
        <w:t>XXX</w:t>
      </w:r>
      <w:r>
        <w:rPr>
          <w:rFonts w:hint="eastAsia" w:asciiTheme="minorEastAsia" w:hAnsiTheme="minorEastAsia" w:eastAsiaTheme="minorEastAsia"/>
          <w:sz w:val="24"/>
          <w:szCs w:val="24"/>
        </w:rPr>
        <w:t>），甲方委托乙方作为参研（或负责）单位，对</w:t>
      </w:r>
      <w:r>
        <w:rPr>
          <w:rFonts w:hint="eastAsia" w:eastAsiaTheme="minorEastAsia"/>
          <w:sz w:val="24"/>
          <w:szCs w:val="24"/>
        </w:rPr>
        <w:t>XXX</w:t>
      </w:r>
      <w:r>
        <w:rPr>
          <w:rFonts w:hint="eastAsia" w:asciiTheme="minorEastAsia" w:hAnsiTheme="minorEastAsia" w:eastAsiaTheme="minorEastAsia"/>
          <w:sz w:val="24"/>
          <w:szCs w:val="24"/>
        </w:rPr>
        <w:t>公司研制的</w:t>
      </w:r>
      <w:r>
        <w:rPr>
          <w:rFonts w:hint="eastAsia" w:eastAsiaTheme="minorEastAsia"/>
          <w:sz w:val="24"/>
          <w:szCs w:val="24"/>
        </w:rPr>
        <w:t>XXX</w:t>
      </w:r>
      <w:r>
        <w:rPr>
          <w:rFonts w:hint="eastAsia" w:asciiTheme="minorEastAsia" w:hAnsiTheme="minorEastAsia" w:eastAsiaTheme="minorEastAsia"/>
          <w:sz w:val="24"/>
          <w:szCs w:val="24"/>
        </w:rPr>
        <w:t>试验药物进行“</w:t>
      </w:r>
      <w:r>
        <w:rPr>
          <w:rFonts w:hint="eastAsia" w:eastAsiaTheme="minorEastAsia"/>
          <w:sz w:val="24"/>
          <w:szCs w:val="24"/>
        </w:rPr>
        <w:t>XXXXXXX</w:t>
      </w:r>
      <w:r>
        <w:rPr>
          <w:rFonts w:hint="eastAsia" w:asciiTheme="minorEastAsia" w:hAnsiTheme="minorEastAsia" w:eastAsiaTheme="minorEastAsia"/>
          <w:sz w:val="24"/>
          <w:szCs w:val="24"/>
        </w:rPr>
        <w:t>临床研究（方案编号：</w:t>
      </w:r>
      <w:r>
        <w:rPr>
          <w:rFonts w:hint="eastAsia" w:eastAsiaTheme="minorEastAsia"/>
          <w:sz w:val="24"/>
          <w:szCs w:val="24"/>
        </w:rPr>
        <w:t>XXX</w:t>
      </w:r>
      <w:r>
        <w:rPr>
          <w:rFonts w:asciiTheme="minorEastAsia" w:hAnsiTheme="minorEastAsia" w:eastAsiaTheme="minorEastAsia"/>
          <w:sz w:val="24"/>
          <w:szCs w:val="24"/>
        </w:rPr>
        <w:t>）</w:t>
      </w:r>
      <w:r>
        <w:rPr>
          <w:rFonts w:hint="eastAsia" w:asciiTheme="minorEastAsia" w:hAnsiTheme="minorEastAsia" w:eastAsiaTheme="minorEastAsia"/>
          <w:sz w:val="24"/>
          <w:szCs w:val="24"/>
        </w:rPr>
        <w:t>”。甲方委托丙方</w:t>
      </w:r>
      <w:r>
        <w:rPr>
          <w:rFonts w:hint="eastAsia" w:asciiTheme="minorEastAsia" w:hAnsiTheme="minorEastAsia" w:eastAsiaTheme="minorEastAsia"/>
          <w:sz w:val="24"/>
          <w:szCs w:val="24"/>
          <w:lang w:eastAsia="zh-CN"/>
        </w:rPr>
        <w:t>依照委托协议参与本</w:t>
      </w:r>
      <w:r>
        <w:rPr>
          <w:rFonts w:hint="eastAsia" w:asciiTheme="minorEastAsia" w:hAnsiTheme="minorEastAsia" w:eastAsiaTheme="minorEastAsia"/>
          <w:sz w:val="24"/>
          <w:szCs w:val="24"/>
        </w:rPr>
        <w:t>临床试验</w:t>
      </w:r>
      <w:r>
        <w:rPr>
          <w:rFonts w:hint="eastAsia" w:asciiTheme="minorEastAsia" w:hAnsiTheme="minorEastAsia" w:eastAsiaTheme="minorEastAsia"/>
          <w:sz w:val="24"/>
          <w:szCs w:val="24"/>
          <w:lang w:eastAsia="zh-CN"/>
        </w:rPr>
        <w:t>的具体</w:t>
      </w:r>
      <w:r>
        <w:rPr>
          <w:rFonts w:hint="eastAsia" w:asciiTheme="minorEastAsia" w:hAnsiTheme="minorEastAsia" w:eastAsiaTheme="minorEastAsia"/>
          <w:sz w:val="24"/>
          <w:szCs w:val="24"/>
        </w:rPr>
        <w:t>执行</w:t>
      </w:r>
      <w:r>
        <w:rPr>
          <w:rFonts w:hint="eastAsia" w:asciiTheme="minorEastAsia" w:hAnsiTheme="minorEastAsia" w:eastAsiaTheme="minorEastAsia"/>
          <w:sz w:val="24"/>
          <w:szCs w:val="24"/>
          <w:lang w:eastAsia="zh-CN"/>
        </w:rPr>
        <w:t>及</w:t>
      </w:r>
      <w:r>
        <w:rPr>
          <w:rFonts w:hint="eastAsia" w:asciiTheme="minorEastAsia" w:hAnsiTheme="minorEastAsia" w:eastAsiaTheme="minorEastAsia"/>
          <w:sz w:val="24"/>
          <w:szCs w:val="24"/>
        </w:rPr>
        <w:t>管理。为确保临床试验顺利进行，依据《中华人民共和国民法典》、《药物临床试验质量管理规范》</w:t>
      </w:r>
      <w:r>
        <w:rPr>
          <w:rFonts w:asciiTheme="minorEastAsia" w:hAnsiTheme="minorEastAsia" w:eastAsiaTheme="minorEastAsia"/>
          <w:sz w:val="24"/>
          <w:szCs w:val="24"/>
        </w:rPr>
        <w:t>和《药品注册管理办法》</w:t>
      </w:r>
      <w:r>
        <w:rPr>
          <w:rFonts w:hint="eastAsia" w:asciiTheme="minorEastAsia" w:hAnsiTheme="minorEastAsia" w:eastAsiaTheme="minorEastAsia"/>
          <w:sz w:val="24"/>
          <w:szCs w:val="24"/>
        </w:rPr>
        <w:t>以及该临床试验方案的规定，合同三方在平等互利、充分表达各自意愿的基础上，就以下各条所涉及的相关技术和法律问题，经协商一致达成如下协议，由签约各方共同恪守。自三方签订合同之日起即生效。</w:t>
      </w:r>
    </w:p>
    <w:p>
      <w:pPr>
        <w:pStyle w:val="16"/>
        <w:keepNext w:val="0"/>
        <w:keepLines w:val="0"/>
        <w:pageBreakBefore w:val="0"/>
        <w:widowControl w:val="0"/>
        <w:kinsoku/>
        <w:wordWrap/>
        <w:overflowPunct/>
        <w:topLinePunct w:val="0"/>
        <w:bidi w:val="0"/>
        <w:adjustRightInd/>
        <w:snapToGrid/>
        <w:spacing w:line="360" w:lineRule="auto"/>
        <w:ind w:left="0" w:leftChars="0" w:firstLine="0" w:firstLineChars="0"/>
        <w:textAlignment w:val="auto"/>
        <w:rPr>
          <w:rFonts w:cs="楷体_GB2312" w:asciiTheme="minorEastAsia" w:hAnsiTheme="minorEastAsia" w:eastAsiaTheme="minorEastAsia"/>
          <w:b/>
          <w:color w:val="000000"/>
          <w:sz w:val="24"/>
          <w:szCs w:val="24"/>
        </w:rPr>
      </w:pPr>
      <w:r>
        <w:rPr>
          <w:rFonts w:hint="eastAsia" w:cs="楷体_GB2312" w:asciiTheme="minorEastAsia" w:hAnsiTheme="minorEastAsia" w:eastAsiaTheme="minorEastAsia"/>
          <w:b/>
          <w:color w:val="000000"/>
          <w:sz w:val="24"/>
          <w:szCs w:val="24"/>
        </w:rPr>
        <w:t>一、 各方的责任和义务</w:t>
      </w:r>
    </w:p>
    <w:p>
      <w:pPr>
        <w:keepNext w:val="0"/>
        <w:keepLines w:val="0"/>
        <w:pageBreakBefore w:val="0"/>
        <w:widowControl w:val="0"/>
        <w:kinsoku/>
        <w:wordWrap/>
        <w:overflowPunct/>
        <w:topLinePunct w:val="0"/>
        <w:bidi w:val="0"/>
        <w:snapToGrid/>
        <w:spacing w:before="156" w:beforeLines="50" w:line="360" w:lineRule="auto"/>
        <w:ind w:left="0" w:leftChars="0"/>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（一）</w:t>
      </w:r>
      <w:r>
        <w:rPr>
          <w:rFonts w:cs="Arial" w:asciiTheme="minorEastAsia" w:hAnsiTheme="minorEastAsia" w:eastAsiaTheme="minorEastAsia"/>
          <w:b/>
          <w:color w:val="000000"/>
          <w:sz w:val="24"/>
          <w:szCs w:val="24"/>
        </w:rPr>
        <w:t>甲方的责任与义务</w:t>
      </w:r>
    </w:p>
    <w:p>
      <w:pPr>
        <w:pStyle w:val="16"/>
        <w:keepNext w:val="0"/>
        <w:keepLines w:val="0"/>
        <w:pageBreakBefore w:val="0"/>
        <w:widowControl w:val="0"/>
        <w:numPr>
          <w:ilvl w:val="0"/>
          <w:numId w:val="1"/>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甲方应向乙方提供试验相关文件：</w:t>
      </w:r>
      <w:r>
        <w:rPr>
          <w:rFonts w:eastAsiaTheme="minorEastAsia"/>
          <w:sz w:val="24"/>
          <w:szCs w:val="24"/>
        </w:rPr>
        <w:t>临床试验方案、病例报告表、研究者手册、知情同意书和</w:t>
      </w:r>
      <w:r>
        <w:rPr>
          <w:rFonts w:hint="eastAsia" w:eastAsiaTheme="minorEastAsia"/>
          <w:sz w:val="24"/>
          <w:szCs w:val="24"/>
        </w:rPr>
        <w:t>其他</w:t>
      </w:r>
      <w:r>
        <w:rPr>
          <w:rFonts w:eastAsiaTheme="minorEastAsia"/>
          <w:sz w:val="24"/>
          <w:szCs w:val="24"/>
        </w:rPr>
        <w:t>试验药物相关的安全性信息</w:t>
      </w:r>
      <w:r>
        <w:rPr>
          <w:rFonts w:hint="eastAsia" w:eastAsiaTheme="minorEastAsia"/>
          <w:sz w:val="24"/>
          <w:szCs w:val="24"/>
        </w:rPr>
        <w:t>等。</w:t>
      </w:r>
    </w:p>
    <w:p>
      <w:pPr>
        <w:pStyle w:val="16"/>
        <w:keepNext w:val="0"/>
        <w:keepLines w:val="0"/>
        <w:pageBreakBefore w:val="0"/>
        <w:widowControl w:val="0"/>
        <w:numPr>
          <w:ilvl w:val="0"/>
          <w:numId w:val="1"/>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lang w:eastAsia="zh-CN"/>
        </w:rPr>
        <w:t>甲方</w:t>
      </w:r>
      <w:r>
        <w:rPr>
          <w:rFonts w:eastAsiaTheme="minorEastAsia"/>
          <w:sz w:val="24"/>
          <w:szCs w:val="24"/>
        </w:rPr>
        <w:t>向乙方提供</w:t>
      </w:r>
      <w:r>
        <w:rPr>
          <w:rFonts w:hint="eastAsia" w:eastAsiaTheme="minorEastAsia"/>
          <w:sz w:val="24"/>
          <w:szCs w:val="24"/>
        </w:rPr>
        <w:t>免费、</w:t>
      </w:r>
      <w:r>
        <w:rPr>
          <w:rFonts w:eastAsiaTheme="minorEastAsia"/>
          <w:sz w:val="24"/>
          <w:szCs w:val="24"/>
        </w:rPr>
        <w:t>及时、足量</w:t>
      </w:r>
      <w:r>
        <w:rPr>
          <w:rFonts w:hint="eastAsia" w:eastAsiaTheme="minorEastAsia"/>
          <w:sz w:val="24"/>
          <w:szCs w:val="24"/>
        </w:rPr>
        <w:t>的</w:t>
      </w:r>
      <w:r>
        <w:rPr>
          <w:rFonts w:eastAsiaTheme="minorEastAsia"/>
          <w:sz w:val="24"/>
          <w:szCs w:val="24"/>
        </w:rPr>
        <w:t>具有易于识别、正确编码并贴有特殊标签的</w:t>
      </w:r>
      <w:r>
        <w:rPr>
          <w:rFonts w:hint="eastAsia" w:eastAsiaTheme="minorEastAsia"/>
          <w:sz w:val="24"/>
          <w:szCs w:val="24"/>
          <w:lang w:eastAsia="zh-CN"/>
        </w:rPr>
        <w:t>试验用药品</w:t>
      </w:r>
      <w:r>
        <w:rPr>
          <w:rFonts w:eastAsiaTheme="minorEastAsia"/>
          <w:sz w:val="24"/>
          <w:szCs w:val="24"/>
        </w:rPr>
        <w:t>，并保证质量</w:t>
      </w:r>
      <w:r>
        <w:rPr>
          <w:rFonts w:hint="eastAsia" w:eastAsiaTheme="minorEastAsia"/>
          <w:sz w:val="24"/>
          <w:szCs w:val="24"/>
        </w:rPr>
        <w:t>符合国家标准，且在有效期之内。</w:t>
      </w:r>
      <w:r>
        <w:rPr>
          <w:rFonts w:eastAsiaTheme="minorEastAsia"/>
          <w:sz w:val="24"/>
          <w:szCs w:val="24"/>
        </w:rPr>
        <w:t>试验用药品应按试验方案的需要包装、保存</w:t>
      </w:r>
      <w:r>
        <w:rPr>
          <w:rFonts w:hint="eastAsia" w:eastAsiaTheme="minorEastAsia"/>
          <w:sz w:val="24"/>
          <w:szCs w:val="24"/>
        </w:rPr>
        <w:t>。提供试验相关的设备、耗材，其送达或回收需提前通知乙方，相关运输费用由甲方承担。</w:t>
      </w:r>
    </w:p>
    <w:p>
      <w:pPr>
        <w:pStyle w:val="16"/>
        <w:keepNext w:val="0"/>
        <w:keepLines w:val="0"/>
        <w:pageBreakBefore w:val="0"/>
        <w:widowControl w:val="0"/>
        <w:numPr>
          <w:ilvl w:val="0"/>
          <w:numId w:val="1"/>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甲方依本合同之约定提供研究经费。</w:t>
      </w:r>
      <w:r>
        <w:rPr>
          <w:rFonts w:eastAsiaTheme="minorEastAsia"/>
          <w:sz w:val="24"/>
          <w:szCs w:val="24"/>
        </w:rPr>
        <w:t xml:space="preserve"> </w:t>
      </w:r>
    </w:p>
    <w:p>
      <w:pPr>
        <w:pStyle w:val="16"/>
        <w:keepNext w:val="0"/>
        <w:keepLines w:val="0"/>
        <w:pageBreakBefore w:val="0"/>
        <w:widowControl w:val="0"/>
        <w:numPr>
          <w:ilvl w:val="0"/>
          <w:numId w:val="1"/>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甲方为临床试验质量保证责任方，甲方委托丙方派遣合格的监查员，对试验的质量进行监查，确保所有试验资料符合相关要求，监查频率应和入组进度相协调。甲方或丙方每次监查后需向乙方提交监查跟进函。甲方负责对丙方的监管，并向乙方提供甲方与丙方本协议之前的签约合同或《授权委托书》。</w:t>
      </w:r>
    </w:p>
    <w:p>
      <w:pPr>
        <w:pStyle w:val="16"/>
        <w:keepNext w:val="0"/>
        <w:keepLines w:val="0"/>
        <w:pageBreakBefore w:val="0"/>
        <w:widowControl w:val="0"/>
        <w:numPr>
          <w:ilvl w:val="0"/>
          <w:numId w:val="1"/>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必要时，可组织独立的稽查以保证质量。</w:t>
      </w:r>
    </w:p>
    <w:p>
      <w:pPr>
        <w:pStyle w:val="16"/>
        <w:keepNext w:val="0"/>
        <w:keepLines w:val="0"/>
        <w:pageBreakBefore w:val="0"/>
        <w:widowControl w:val="0"/>
        <w:numPr>
          <w:ilvl w:val="0"/>
          <w:numId w:val="1"/>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甲方为本协议下临床试验（方案编号：）购买药物临床试验责任保险。对于发生与试验相关的损害或死亡的受试者，甲方将承担所有用于治疗受试者人身伤害而发生的一切合理费用及相应的经济补偿，以及相应的法律责任。受试者在发生不良事件（AE）后提出赔偿要求的，甲方应积极联系保险公司，并依法向受试者赔偿。如果甲</w:t>
      </w:r>
      <w:r>
        <w:rPr>
          <w:rFonts w:hint="eastAsia" w:eastAsiaTheme="minorEastAsia"/>
          <w:sz w:val="24"/>
          <w:szCs w:val="24"/>
          <w:lang w:eastAsia="zh-CN"/>
        </w:rPr>
        <w:t>方</w:t>
      </w:r>
      <w:r>
        <w:rPr>
          <w:rFonts w:hint="eastAsia" w:eastAsiaTheme="minorEastAsia"/>
          <w:sz w:val="24"/>
          <w:szCs w:val="24"/>
        </w:rPr>
        <w:t>投保的保险不能满足受试者补偿或赔偿，甲方应根据先行赔付原则，垫付保险之外的继续或后续补偿或赔偿，以保证受试者的安全和权益，待责任认定后，由责任方依法承担该笔费用。同时，甲方应向赔偿乙方及乙方研究者因处理前述事件而支出的费用，确保乙方及乙方研究者免受损失，包括但不限于律师费、诉讼费、鉴定费、医疗费等在内的全部费用，但相关损失系由医疗事故所致者除外。</w:t>
      </w:r>
    </w:p>
    <w:p>
      <w:pPr>
        <w:pStyle w:val="16"/>
        <w:keepNext w:val="0"/>
        <w:keepLines w:val="0"/>
        <w:pageBreakBefore w:val="0"/>
        <w:widowControl w:val="0"/>
        <w:numPr>
          <w:ilvl w:val="0"/>
          <w:numId w:val="1"/>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如</w:t>
      </w:r>
      <w:r>
        <w:rPr>
          <w:rFonts w:eastAsiaTheme="minorEastAsia"/>
          <w:sz w:val="24"/>
          <w:szCs w:val="24"/>
        </w:rPr>
        <w:t>发生严重不良事件</w:t>
      </w:r>
      <w:r>
        <w:rPr>
          <w:rFonts w:hint="eastAsia" w:eastAsiaTheme="minorEastAsia"/>
          <w:sz w:val="24"/>
          <w:szCs w:val="24"/>
        </w:rPr>
        <w:t>（SAE），甲方</w:t>
      </w:r>
      <w:r>
        <w:rPr>
          <w:rFonts w:eastAsiaTheme="minorEastAsia"/>
          <w:sz w:val="24"/>
          <w:szCs w:val="24"/>
        </w:rPr>
        <w:t>应与研究者迅速研究所发生的严重不良事件，采取必要的措施以保证受试者的安全和权益。</w:t>
      </w:r>
    </w:p>
    <w:p>
      <w:pPr>
        <w:pStyle w:val="16"/>
        <w:keepNext w:val="0"/>
        <w:keepLines w:val="0"/>
        <w:pageBreakBefore w:val="0"/>
        <w:widowControl w:val="0"/>
        <w:numPr>
          <w:ilvl w:val="0"/>
          <w:numId w:val="1"/>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发现有如下情形之一，甲方应于</w:t>
      </w:r>
      <w:r>
        <w:rPr>
          <w:rFonts w:hint="eastAsia" w:eastAsiaTheme="minorEastAsia"/>
          <w:color w:val="558ED5" w:themeColor="text2" w:themeTint="99"/>
          <w:sz w:val="24"/>
          <w:szCs w:val="24"/>
          <w14:textFill>
            <w14:solidFill>
              <w14:schemeClr w14:val="tx2">
                <w14:lumMod w14:val="60000"/>
                <w14:lumOff w14:val="40000"/>
              </w14:schemeClr>
            </w14:solidFill>
          </w14:textFill>
        </w:rPr>
        <w:t>24小时内</w:t>
      </w:r>
      <w:r>
        <w:rPr>
          <w:rFonts w:hint="eastAsia" w:eastAsiaTheme="minorEastAsia"/>
          <w:sz w:val="24"/>
          <w:szCs w:val="24"/>
        </w:rPr>
        <w:t>告知乙方：可疑且非预期严重不良反应（SUSAR）、影响受试者的安全性或影响研究继续执行的行为或改变伦理委员会已批准研究范围的行为。</w:t>
      </w:r>
    </w:p>
    <w:p>
      <w:pPr>
        <w:pStyle w:val="16"/>
        <w:keepNext w:val="0"/>
        <w:keepLines w:val="0"/>
        <w:pageBreakBefore w:val="0"/>
        <w:widowControl w:val="0"/>
        <w:numPr>
          <w:ilvl w:val="0"/>
          <w:numId w:val="1"/>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甲方应向乙方递送数据和安全监查计划。甲方应按乙方伦理委员会的要求在规定的时间内向乙方提供例行数据安全监查报告和紧急数据安全监查报告，每年至少报告1次。</w:t>
      </w:r>
    </w:p>
    <w:p>
      <w:pPr>
        <w:pStyle w:val="16"/>
        <w:keepNext w:val="0"/>
        <w:keepLines w:val="0"/>
        <w:pageBreakBefore w:val="0"/>
        <w:widowControl w:val="0"/>
        <w:numPr>
          <w:ilvl w:val="0"/>
          <w:numId w:val="1"/>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在决定中止或暂停临床试验前，必须书面通知研究机构、研究者和伦理委员会，</w:t>
      </w:r>
      <w:r>
        <w:rPr>
          <w:rFonts w:eastAsiaTheme="minorEastAsia"/>
          <w:sz w:val="24"/>
          <w:szCs w:val="24"/>
        </w:rPr>
        <w:t>并述明理由</w:t>
      </w:r>
      <w:r>
        <w:rPr>
          <w:rFonts w:hint="eastAsia" w:eastAsiaTheme="minorEastAsia"/>
          <w:sz w:val="24"/>
          <w:szCs w:val="24"/>
        </w:rPr>
        <w:t>。</w:t>
      </w:r>
      <w:r>
        <w:rPr>
          <w:rFonts w:eastAsiaTheme="minorEastAsia"/>
          <w:sz w:val="24"/>
          <w:szCs w:val="24"/>
        </w:rPr>
        <w:t>若因试验药物的不良反应而中断临床试验，由甲方承担相应的责任与后果</w:t>
      </w:r>
      <w:r>
        <w:rPr>
          <w:rFonts w:hint="eastAsia" w:eastAsiaTheme="minorEastAsia"/>
          <w:sz w:val="24"/>
          <w:szCs w:val="24"/>
        </w:rPr>
        <w:t>。</w:t>
      </w:r>
    </w:p>
    <w:p>
      <w:pPr>
        <w:pStyle w:val="16"/>
        <w:keepNext w:val="0"/>
        <w:keepLines w:val="0"/>
        <w:pageBreakBefore w:val="0"/>
        <w:widowControl w:val="0"/>
        <w:numPr>
          <w:ilvl w:val="0"/>
          <w:numId w:val="1"/>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向伦理委员会、研究机构递交最终的临床试验分中心小结或总结报告。</w:t>
      </w:r>
    </w:p>
    <w:p>
      <w:pPr>
        <w:pStyle w:val="16"/>
        <w:keepNext w:val="0"/>
        <w:keepLines w:val="0"/>
        <w:pageBreakBefore w:val="0"/>
        <w:widowControl w:val="0"/>
        <w:numPr>
          <w:ilvl w:val="0"/>
          <w:numId w:val="1"/>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向国家药品监督管理局（NMPA）递交总结报告。</w:t>
      </w:r>
    </w:p>
    <w:p>
      <w:pPr>
        <w:pStyle w:val="16"/>
        <w:keepNext w:val="0"/>
        <w:keepLines w:val="0"/>
        <w:pageBreakBefore w:val="0"/>
        <w:widowControl w:val="0"/>
        <w:numPr>
          <w:ilvl w:val="0"/>
          <w:numId w:val="1"/>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甲方须明确在试验结束后2年之内，将已结题项目的新发现及时告知给乙方，尤其是这些新发现可能直接影响受试者的安全。</w:t>
      </w:r>
    </w:p>
    <w:p>
      <w:pPr>
        <w:pStyle w:val="16"/>
        <w:keepNext w:val="0"/>
        <w:keepLines w:val="0"/>
        <w:pageBreakBefore w:val="0"/>
        <w:widowControl w:val="0"/>
        <w:numPr>
          <w:ilvl w:val="0"/>
          <w:numId w:val="1"/>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甲方如设置中心试验室，有责任监督生物样本的运输和检测，生物样本只能进行</w:t>
      </w:r>
      <w:r>
        <w:rPr>
          <w:rFonts w:hint="eastAsia" w:eastAsiaTheme="minorEastAsia"/>
          <w:sz w:val="24"/>
          <w:szCs w:val="24"/>
          <w:lang w:eastAsia="zh-CN"/>
        </w:rPr>
        <w:t>本协议下</w:t>
      </w:r>
      <w:r>
        <w:rPr>
          <w:rFonts w:hint="eastAsia" w:eastAsiaTheme="minorEastAsia"/>
          <w:sz w:val="24"/>
          <w:szCs w:val="24"/>
        </w:rPr>
        <w:t>方案相关检测，剩余样本及时销毁。</w:t>
      </w:r>
    </w:p>
    <w:p>
      <w:pPr>
        <w:keepNext w:val="0"/>
        <w:keepLines w:val="0"/>
        <w:pageBreakBefore w:val="0"/>
        <w:widowControl w:val="0"/>
        <w:kinsoku/>
        <w:wordWrap/>
        <w:overflowPunct/>
        <w:topLinePunct w:val="0"/>
        <w:bidi w:val="0"/>
        <w:adjustRightInd/>
        <w:snapToGrid/>
        <w:spacing w:line="360" w:lineRule="auto"/>
        <w:ind w:left="0" w:leftChars="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（二）乙</w:t>
      </w:r>
      <w:r>
        <w:rPr>
          <w:rFonts w:asciiTheme="minorEastAsia" w:hAnsiTheme="minorEastAsia" w:eastAsiaTheme="minorEastAsia"/>
          <w:b/>
          <w:sz w:val="24"/>
          <w:szCs w:val="24"/>
        </w:rPr>
        <w:t>方的责任与义务</w:t>
      </w:r>
    </w:p>
    <w:p>
      <w:pPr>
        <w:pStyle w:val="16"/>
        <w:keepNext w:val="0"/>
        <w:keepLines w:val="0"/>
        <w:pageBreakBefore w:val="0"/>
        <w:widowControl w:val="0"/>
        <w:numPr>
          <w:ilvl w:val="0"/>
          <w:numId w:val="2"/>
        </w:numPr>
        <w:kinsoku/>
        <w:wordWrap/>
        <w:overflowPunct/>
        <w:topLinePunct w:val="0"/>
        <w:bidi w:val="0"/>
        <w:snapToGrid/>
        <w:spacing w:line="360" w:lineRule="auto"/>
        <w:ind w:left="420" w:leftChars="0" w:firstLineChars="0"/>
        <w:rPr>
          <w:rFonts w:eastAsiaTheme="minorEastAsia"/>
          <w:sz w:val="24"/>
          <w:szCs w:val="24"/>
        </w:rPr>
      </w:pPr>
      <w:r>
        <w:rPr>
          <w:rFonts w:hint="eastAsia" w:eastAsiaTheme="minorEastAsia"/>
          <w:sz w:val="24"/>
          <w:szCs w:val="24"/>
        </w:rPr>
        <w:t>研究者必须详细阅读和了解试验方案的内容，并严格按照试验方案和《药物临床试验质量管理规范》（GCP）的要求执行。</w:t>
      </w:r>
    </w:p>
    <w:p>
      <w:pPr>
        <w:pStyle w:val="16"/>
        <w:keepNext w:val="0"/>
        <w:keepLines w:val="0"/>
        <w:pageBreakBefore w:val="0"/>
        <w:widowControl w:val="0"/>
        <w:numPr>
          <w:ilvl w:val="0"/>
          <w:numId w:val="2"/>
        </w:numPr>
        <w:kinsoku/>
        <w:wordWrap/>
        <w:overflowPunct/>
        <w:topLinePunct w:val="0"/>
        <w:bidi w:val="0"/>
        <w:snapToGrid/>
        <w:spacing w:line="360" w:lineRule="auto"/>
        <w:ind w:left="420" w:leftChars="0" w:firstLineChars="0"/>
        <w:rPr>
          <w:rFonts w:eastAsiaTheme="minorEastAsia"/>
          <w:sz w:val="24"/>
          <w:szCs w:val="24"/>
        </w:rPr>
      </w:pPr>
      <w:r>
        <w:rPr>
          <w:rFonts w:hint="eastAsia" w:eastAsiaTheme="minorEastAsia"/>
          <w:sz w:val="24"/>
          <w:szCs w:val="24"/>
        </w:rPr>
        <w:t>参与临床试验方案、病例报告表、知情同意书等的编写制定。</w:t>
      </w:r>
    </w:p>
    <w:p>
      <w:pPr>
        <w:pStyle w:val="16"/>
        <w:keepNext w:val="0"/>
        <w:keepLines w:val="0"/>
        <w:pageBreakBefore w:val="0"/>
        <w:widowControl w:val="0"/>
        <w:numPr>
          <w:ilvl w:val="0"/>
          <w:numId w:val="2"/>
        </w:numPr>
        <w:kinsoku/>
        <w:wordWrap/>
        <w:overflowPunct/>
        <w:topLinePunct w:val="0"/>
        <w:bidi w:val="0"/>
        <w:snapToGrid/>
        <w:spacing w:line="360" w:lineRule="auto"/>
        <w:ind w:left="420" w:leftChars="0" w:firstLineChars="0"/>
        <w:rPr>
          <w:rFonts w:eastAsiaTheme="minorEastAsia"/>
          <w:sz w:val="24"/>
          <w:szCs w:val="24"/>
        </w:rPr>
      </w:pPr>
      <w:r>
        <w:rPr>
          <w:rFonts w:hint="eastAsia" w:eastAsiaTheme="minorEastAsia"/>
          <w:sz w:val="24"/>
          <w:szCs w:val="24"/>
        </w:rPr>
        <w:t>提供可开展试验且符合GCP要求的试验场所、人员和设备条件，按相关储存条件进行药物保管，主要研究者授权有资质的研究者参与临床试验。</w:t>
      </w:r>
    </w:p>
    <w:p>
      <w:pPr>
        <w:pStyle w:val="16"/>
        <w:keepNext w:val="0"/>
        <w:keepLines w:val="0"/>
        <w:pageBreakBefore w:val="0"/>
        <w:widowControl w:val="0"/>
        <w:numPr>
          <w:ilvl w:val="0"/>
          <w:numId w:val="2"/>
        </w:numPr>
        <w:kinsoku/>
        <w:wordWrap/>
        <w:overflowPunct/>
        <w:topLinePunct w:val="0"/>
        <w:bidi w:val="0"/>
        <w:snapToGrid/>
        <w:spacing w:line="360" w:lineRule="auto"/>
        <w:ind w:left="420" w:leftChars="0" w:firstLineChars="0"/>
        <w:rPr>
          <w:rFonts w:eastAsiaTheme="minorEastAsia"/>
          <w:sz w:val="24"/>
          <w:szCs w:val="24"/>
        </w:rPr>
      </w:pPr>
      <w:r>
        <w:rPr>
          <w:rFonts w:hint="eastAsia" w:eastAsiaTheme="minorEastAsia"/>
          <w:sz w:val="24"/>
          <w:szCs w:val="24"/>
        </w:rPr>
        <w:t>保证将临床试验数据真实、准确、完整、及时、合法地载入病历（包括纸张病例和电子病历）和病例报告表。</w:t>
      </w:r>
    </w:p>
    <w:p>
      <w:pPr>
        <w:pStyle w:val="16"/>
        <w:keepNext w:val="0"/>
        <w:keepLines w:val="0"/>
        <w:pageBreakBefore w:val="0"/>
        <w:widowControl w:val="0"/>
        <w:numPr>
          <w:ilvl w:val="0"/>
          <w:numId w:val="2"/>
        </w:numPr>
        <w:kinsoku/>
        <w:wordWrap/>
        <w:overflowPunct/>
        <w:topLinePunct w:val="0"/>
        <w:bidi w:val="0"/>
        <w:snapToGrid/>
        <w:spacing w:line="360" w:lineRule="auto"/>
        <w:ind w:left="420" w:leftChars="0" w:firstLineChars="0"/>
        <w:rPr>
          <w:rFonts w:eastAsiaTheme="minorEastAsia"/>
          <w:sz w:val="24"/>
          <w:szCs w:val="24"/>
        </w:rPr>
      </w:pPr>
      <w:r>
        <w:rPr>
          <w:rFonts w:eastAsiaTheme="minorEastAsia"/>
          <w:sz w:val="24"/>
          <w:szCs w:val="24"/>
        </w:rPr>
        <w:t>有义务采取必要的措施以保障受试者的安全，</w:t>
      </w:r>
      <w:r>
        <w:rPr>
          <w:rFonts w:hint="eastAsia" w:eastAsiaTheme="minorEastAsia"/>
          <w:sz w:val="24"/>
          <w:szCs w:val="24"/>
        </w:rPr>
        <w:t>负责做出与临床试验相关的医疗决定，当发生AE和SAE时给予受试者适当、及时的治疗，</w:t>
      </w:r>
      <w:r>
        <w:rPr>
          <w:rFonts w:eastAsiaTheme="minorEastAsia"/>
          <w:sz w:val="24"/>
          <w:szCs w:val="24"/>
        </w:rPr>
        <w:t>并记录在案。</w:t>
      </w:r>
      <w:r>
        <w:rPr>
          <w:rFonts w:hint="eastAsia" w:eastAsiaTheme="minorEastAsia"/>
          <w:sz w:val="24"/>
          <w:szCs w:val="24"/>
        </w:rPr>
        <w:t>对于试验中出现的SAE及其他方案规定需特别关注的不良事件，按方案及本机构伦理委员会规定的程序上报。</w:t>
      </w:r>
    </w:p>
    <w:p>
      <w:pPr>
        <w:pStyle w:val="16"/>
        <w:keepNext w:val="0"/>
        <w:keepLines w:val="0"/>
        <w:pageBreakBefore w:val="0"/>
        <w:widowControl w:val="0"/>
        <w:numPr>
          <w:ilvl w:val="0"/>
          <w:numId w:val="2"/>
        </w:numPr>
        <w:kinsoku/>
        <w:wordWrap/>
        <w:overflowPunct/>
        <w:topLinePunct w:val="0"/>
        <w:bidi w:val="0"/>
        <w:snapToGrid/>
        <w:spacing w:line="360" w:lineRule="auto"/>
        <w:ind w:left="420" w:leftChars="0" w:firstLineChars="0"/>
        <w:rPr>
          <w:rFonts w:eastAsiaTheme="minorEastAsia"/>
          <w:sz w:val="24"/>
          <w:szCs w:val="24"/>
        </w:rPr>
      </w:pPr>
      <w:r>
        <w:rPr>
          <w:rFonts w:hint="eastAsia" w:eastAsiaTheme="minorEastAsia"/>
          <w:sz w:val="24"/>
          <w:szCs w:val="24"/>
        </w:rPr>
        <w:t>应接受甲方或丙方派遣的监查员或稽查员的监查和稽查及药品监督管理部门的检查，确保临床试验的质量。本研究结束后，乙方有义务进行统计数据疑问确认与答疑。</w:t>
      </w:r>
    </w:p>
    <w:p>
      <w:pPr>
        <w:pStyle w:val="16"/>
        <w:keepNext w:val="0"/>
        <w:keepLines w:val="0"/>
        <w:pageBreakBefore w:val="0"/>
        <w:widowControl w:val="0"/>
        <w:numPr>
          <w:ilvl w:val="0"/>
          <w:numId w:val="2"/>
        </w:numPr>
        <w:kinsoku/>
        <w:wordWrap/>
        <w:overflowPunct/>
        <w:topLinePunct w:val="0"/>
        <w:bidi w:val="0"/>
        <w:snapToGrid/>
        <w:spacing w:line="360" w:lineRule="auto"/>
        <w:ind w:left="420" w:leftChars="0" w:firstLineChars="0"/>
        <w:rPr>
          <w:rFonts w:eastAsiaTheme="minorEastAsia"/>
          <w:sz w:val="24"/>
          <w:szCs w:val="24"/>
        </w:rPr>
      </w:pPr>
      <w:r>
        <w:rPr>
          <w:rFonts w:hint="eastAsia" w:eastAsiaTheme="minorEastAsia"/>
          <w:sz w:val="24"/>
          <w:szCs w:val="24"/>
        </w:rPr>
        <w:t>按照法规要求保管临床试验资料。</w:t>
      </w:r>
    </w:p>
    <w:p>
      <w:pPr>
        <w:pStyle w:val="16"/>
        <w:keepNext w:val="0"/>
        <w:keepLines w:val="0"/>
        <w:pageBreakBefore w:val="0"/>
        <w:widowControl w:val="0"/>
        <w:numPr>
          <w:ilvl w:val="0"/>
          <w:numId w:val="2"/>
        </w:numPr>
        <w:kinsoku/>
        <w:wordWrap/>
        <w:overflowPunct/>
        <w:topLinePunct w:val="0"/>
        <w:bidi w:val="0"/>
        <w:snapToGrid/>
        <w:spacing w:line="360" w:lineRule="auto"/>
        <w:ind w:left="420" w:leftChars="0" w:firstLineChars="0"/>
        <w:rPr>
          <w:rFonts w:eastAsiaTheme="minorEastAsia"/>
          <w:sz w:val="24"/>
          <w:szCs w:val="24"/>
        </w:rPr>
      </w:pPr>
      <w:r>
        <w:rPr>
          <w:rFonts w:hint="eastAsia" w:eastAsiaTheme="minorEastAsia"/>
          <w:sz w:val="24"/>
          <w:szCs w:val="24"/>
        </w:rPr>
        <w:t>应在甲方各笔款项到账后提供</w:t>
      </w:r>
      <w:r>
        <w:rPr>
          <w:rFonts w:hint="eastAsia" w:ascii="宋体" w:hAnsi="宋体" w:eastAsia="宋体"/>
          <w:sz w:val="24"/>
          <w:szCs w:val="24"/>
        </w:rPr>
        <w:t>同</w:t>
      </w:r>
      <w:r>
        <w:rPr>
          <w:rFonts w:ascii="宋体" w:hAnsi="宋体" w:eastAsia="宋体"/>
          <w:sz w:val="24"/>
          <w:szCs w:val="24"/>
        </w:rPr>
        <w:t>等额</w:t>
      </w:r>
      <w:r>
        <w:rPr>
          <w:rFonts w:hint="eastAsia" w:ascii="宋体" w:hAnsi="宋体" w:eastAsia="宋体"/>
          <w:sz w:val="24"/>
          <w:szCs w:val="24"/>
        </w:rPr>
        <w:t>正式发票</w:t>
      </w:r>
      <w:r>
        <w:rPr>
          <w:rFonts w:hint="eastAsia" w:eastAsiaTheme="minorEastAsia"/>
          <w:sz w:val="24"/>
          <w:szCs w:val="24"/>
        </w:rPr>
        <w:t>。</w:t>
      </w:r>
    </w:p>
    <w:p>
      <w:pPr>
        <w:pStyle w:val="16"/>
        <w:keepNext w:val="0"/>
        <w:keepLines w:val="0"/>
        <w:pageBreakBefore w:val="0"/>
        <w:widowControl w:val="0"/>
        <w:numPr>
          <w:ilvl w:val="0"/>
          <w:numId w:val="2"/>
        </w:numPr>
        <w:kinsoku/>
        <w:wordWrap/>
        <w:overflowPunct/>
        <w:topLinePunct w:val="0"/>
        <w:bidi w:val="0"/>
        <w:snapToGrid/>
        <w:spacing w:line="360" w:lineRule="auto"/>
        <w:ind w:left="420" w:leftChars="0" w:firstLineChars="0"/>
        <w:rPr>
          <w:rFonts w:eastAsiaTheme="minorEastAsia"/>
          <w:sz w:val="24"/>
          <w:szCs w:val="24"/>
        </w:rPr>
      </w:pPr>
      <w:r>
        <w:rPr>
          <w:rFonts w:hint="eastAsia" w:eastAsiaTheme="minorEastAsia"/>
          <w:sz w:val="24"/>
          <w:szCs w:val="24"/>
        </w:rPr>
        <w:t>应根据</w:t>
      </w:r>
      <w:r>
        <w:rPr>
          <w:rFonts w:ascii="宋体" w:hAnsi="宋体" w:eastAsia="宋体" w:cs="宋体"/>
          <w:sz w:val="24"/>
          <w:szCs w:val="24"/>
        </w:rPr>
        <w:t>国家</w:t>
      </w:r>
      <w:r>
        <w:fldChar w:fldCharType="begin"/>
      </w:r>
      <w:r>
        <w:instrText xml:space="preserve"> HYPERLINK "http://www.pharmnet.com.cn/product/" \t "_blank" </w:instrText>
      </w:r>
      <w:r>
        <w:fldChar w:fldCharType="separate"/>
      </w:r>
      <w:r>
        <w:rPr>
          <w:rFonts w:ascii="宋体" w:hAnsi="宋体" w:eastAsia="宋体" w:cs="宋体"/>
          <w:sz w:val="24"/>
          <w:szCs w:val="24"/>
        </w:rPr>
        <w:t>药品</w:t>
      </w:r>
      <w:r>
        <w:rPr>
          <w:rFonts w:ascii="宋体" w:hAnsi="宋体" w:eastAsia="宋体" w:cs="宋体"/>
          <w:sz w:val="24"/>
          <w:szCs w:val="24"/>
        </w:rPr>
        <w:fldChar w:fldCharType="end"/>
      </w:r>
      <w:r>
        <w:rPr>
          <w:rFonts w:ascii="宋体" w:hAnsi="宋体" w:eastAsia="宋体" w:cs="宋体"/>
          <w:sz w:val="24"/>
          <w:szCs w:val="24"/>
        </w:rPr>
        <w:t>监督管理局</w:t>
      </w:r>
      <w:r>
        <w:rPr>
          <w:rFonts w:hint="eastAsia" w:ascii="宋体" w:hAnsi="宋体" w:eastAsia="宋体" w:cs="宋体"/>
          <w:sz w:val="24"/>
          <w:szCs w:val="24"/>
        </w:rPr>
        <w:t>（</w:t>
      </w:r>
      <w:r>
        <w:rPr>
          <w:rFonts w:eastAsiaTheme="minorEastAsia"/>
          <w:sz w:val="24"/>
          <w:szCs w:val="24"/>
        </w:rPr>
        <w:t>NMPA</w:t>
      </w:r>
      <w:r>
        <w:rPr>
          <w:rFonts w:hint="eastAsia" w:ascii="宋体" w:hAnsi="宋体" w:eastAsia="宋体" w:cs="宋体"/>
          <w:sz w:val="24"/>
          <w:szCs w:val="24"/>
        </w:rPr>
        <w:t>）</w:t>
      </w:r>
      <w:r>
        <w:rPr>
          <w:rFonts w:hint="eastAsia" w:eastAsiaTheme="minorEastAsia"/>
          <w:sz w:val="24"/>
          <w:szCs w:val="24"/>
        </w:rPr>
        <w:t>的要求出席药物的审评会，由此产生的费用由甲方承担。</w:t>
      </w:r>
    </w:p>
    <w:p>
      <w:pPr>
        <w:keepNext w:val="0"/>
        <w:keepLines w:val="0"/>
        <w:pageBreakBefore w:val="0"/>
        <w:widowControl w:val="0"/>
        <w:kinsoku/>
        <w:wordWrap/>
        <w:overflowPunct/>
        <w:topLinePunct w:val="0"/>
        <w:bidi w:val="0"/>
        <w:snapToGrid/>
        <w:spacing w:line="360" w:lineRule="auto"/>
        <w:ind w:left="0" w:leftChars="0"/>
        <w:rPr>
          <w:rFonts w:eastAsiaTheme="minorEastAsia"/>
          <w:b/>
          <w:sz w:val="24"/>
          <w:szCs w:val="24"/>
        </w:rPr>
      </w:pPr>
      <w:r>
        <w:rPr>
          <w:rFonts w:hint="eastAsia" w:eastAsiaTheme="minorEastAsia"/>
          <w:b/>
          <w:sz w:val="24"/>
          <w:szCs w:val="24"/>
        </w:rPr>
        <w:t>（三） 丙方的责任与义务</w:t>
      </w:r>
    </w:p>
    <w:p>
      <w:pPr>
        <w:pStyle w:val="16"/>
        <w:keepNext w:val="0"/>
        <w:keepLines w:val="0"/>
        <w:pageBreakBefore w:val="0"/>
        <w:widowControl w:val="0"/>
        <w:numPr>
          <w:ilvl w:val="0"/>
          <w:numId w:val="3"/>
        </w:numPr>
        <w:kinsoku/>
        <w:wordWrap/>
        <w:overflowPunct/>
        <w:topLinePunct w:val="0"/>
        <w:bidi w:val="0"/>
        <w:snapToGrid/>
        <w:spacing w:line="360" w:lineRule="auto"/>
        <w:ind w:left="436" w:leftChars="0" w:hanging="436" w:hangingChars="182"/>
        <w:rPr>
          <w:rFonts w:eastAsiaTheme="minorEastAsia"/>
          <w:sz w:val="24"/>
          <w:szCs w:val="24"/>
        </w:rPr>
      </w:pPr>
      <w:r>
        <w:rPr>
          <w:rFonts w:hint="eastAsia" w:eastAsiaTheme="minorEastAsia"/>
          <w:sz w:val="24"/>
          <w:szCs w:val="24"/>
        </w:rPr>
        <w:t>提供甲方委托丙方承担临床试验相关业务的《授权委托书》，其责任与义务与本协议相符。</w:t>
      </w:r>
    </w:p>
    <w:p>
      <w:pPr>
        <w:pStyle w:val="16"/>
        <w:keepNext w:val="0"/>
        <w:keepLines w:val="0"/>
        <w:pageBreakBefore w:val="0"/>
        <w:widowControl w:val="0"/>
        <w:numPr>
          <w:ilvl w:val="0"/>
          <w:numId w:val="3"/>
        </w:numPr>
        <w:kinsoku/>
        <w:wordWrap/>
        <w:overflowPunct/>
        <w:topLinePunct w:val="0"/>
        <w:bidi w:val="0"/>
        <w:snapToGrid/>
        <w:spacing w:line="360" w:lineRule="auto"/>
        <w:ind w:left="436" w:leftChars="0" w:hanging="436" w:hangingChars="182"/>
        <w:rPr>
          <w:rFonts w:eastAsiaTheme="minorEastAsia"/>
          <w:sz w:val="24"/>
          <w:szCs w:val="24"/>
        </w:rPr>
      </w:pPr>
      <w:r>
        <w:rPr>
          <w:rFonts w:hint="eastAsia" w:eastAsiaTheme="minorEastAsia"/>
          <w:sz w:val="24"/>
          <w:szCs w:val="24"/>
        </w:rPr>
        <w:t>协调甲方处理临床试验相关赔偿事宜。</w:t>
      </w:r>
    </w:p>
    <w:p>
      <w:pPr>
        <w:pStyle w:val="16"/>
        <w:keepNext w:val="0"/>
        <w:keepLines w:val="0"/>
        <w:pageBreakBefore w:val="0"/>
        <w:widowControl w:val="0"/>
        <w:numPr>
          <w:ilvl w:val="0"/>
          <w:numId w:val="3"/>
        </w:numPr>
        <w:kinsoku/>
        <w:wordWrap/>
        <w:overflowPunct/>
        <w:topLinePunct w:val="0"/>
        <w:bidi w:val="0"/>
        <w:snapToGrid/>
        <w:spacing w:line="360" w:lineRule="auto"/>
        <w:ind w:left="436" w:leftChars="0" w:hanging="436" w:hangingChars="182"/>
        <w:rPr>
          <w:rFonts w:eastAsiaTheme="minorEastAsia"/>
          <w:sz w:val="24"/>
          <w:szCs w:val="24"/>
        </w:rPr>
      </w:pPr>
      <w:r>
        <w:rPr>
          <w:rFonts w:hint="eastAsia" w:eastAsiaTheme="minorEastAsia"/>
          <w:sz w:val="24"/>
          <w:szCs w:val="24"/>
        </w:rPr>
        <w:t>派遣合格的监查员，对试验的质量进行监查，并就监查中发现的问题与研究者协商解决，确保试验资料符合相关要求。如果丙方发现乙方未严格执行试验方案或未严格执行GCP，应及时书面通知研究者进行改正。</w:t>
      </w:r>
    </w:p>
    <w:p>
      <w:pPr>
        <w:pStyle w:val="16"/>
        <w:keepNext w:val="0"/>
        <w:keepLines w:val="0"/>
        <w:pageBreakBefore w:val="0"/>
        <w:widowControl w:val="0"/>
        <w:numPr>
          <w:ilvl w:val="0"/>
          <w:numId w:val="3"/>
        </w:numPr>
        <w:kinsoku/>
        <w:wordWrap/>
        <w:overflowPunct/>
        <w:topLinePunct w:val="0"/>
        <w:bidi w:val="0"/>
        <w:snapToGrid/>
        <w:spacing w:line="360" w:lineRule="auto"/>
        <w:ind w:left="436" w:leftChars="0" w:hanging="436" w:hangingChars="182"/>
        <w:rPr>
          <w:rFonts w:eastAsiaTheme="minorEastAsia"/>
          <w:sz w:val="24"/>
          <w:szCs w:val="24"/>
        </w:rPr>
      </w:pPr>
      <w:r>
        <w:rPr>
          <w:rFonts w:hint="eastAsia" w:eastAsiaTheme="minorEastAsia"/>
          <w:sz w:val="24"/>
          <w:szCs w:val="24"/>
        </w:rPr>
        <w:t>委托受过培训并具有资质的人员参与项目相关工作。</w:t>
      </w:r>
    </w:p>
    <w:p>
      <w:pPr>
        <w:pStyle w:val="16"/>
        <w:keepNext w:val="0"/>
        <w:keepLines w:val="0"/>
        <w:pageBreakBefore w:val="0"/>
        <w:widowControl w:val="0"/>
        <w:numPr>
          <w:ilvl w:val="0"/>
          <w:numId w:val="3"/>
        </w:numPr>
        <w:kinsoku/>
        <w:wordWrap/>
        <w:overflowPunct/>
        <w:topLinePunct w:val="0"/>
        <w:bidi w:val="0"/>
        <w:snapToGrid/>
        <w:spacing w:line="360" w:lineRule="auto"/>
        <w:ind w:left="436" w:leftChars="0" w:hanging="436" w:hangingChars="182"/>
        <w:rPr>
          <w:rFonts w:eastAsiaTheme="minorEastAsia"/>
          <w:sz w:val="24"/>
          <w:szCs w:val="24"/>
        </w:rPr>
      </w:pPr>
      <w:r>
        <w:rPr>
          <w:rFonts w:hint="eastAsia" w:eastAsiaTheme="minorEastAsia"/>
          <w:sz w:val="24"/>
          <w:szCs w:val="24"/>
        </w:rPr>
        <w:t>负责对研究人员进行与该临床试验有关的培训。</w:t>
      </w:r>
    </w:p>
    <w:p>
      <w:pPr>
        <w:keepNext w:val="0"/>
        <w:keepLines w:val="0"/>
        <w:pageBreakBefore w:val="0"/>
        <w:widowControl w:val="0"/>
        <w:kinsoku/>
        <w:wordWrap/>
        <w:overflowPunct/>
        <w:topLinePunct w:val="0"/>
        <w:bidi w:val="0"/>
        <w:snapToGrid/>
        <w:spacing w:before="156" w:beforeLines="50" w:line="360" w:lineRule="auto"/>
        <w:ind w:left="0" w:leftChars="0"/>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二、试验计划与进度</w:t>
      </w:r>
    </w:p>
    <w:p>
      <w:pPr>
        <w:keepNext w:val="0"/>
        <w:keepLines w:val="0"/>
        <w:pageBreakBefore w:val="0"/>
        <w:widowControl w:val="0"/>
        <w:kinsoku/>
        <w:wordWrap/>
        <w:overflowPunct/>
        <w:topLinePunct w:val="0"/>
        <w:bidi w:val="0"/>
        <w:snapToGrid/>
        <w:spacing w:before="156" w:beforeLines="50" w:line="360" w:lineRule="auto"/>
        <w:ind w:left="0" w:leftChars="0" w:firstLine="480" w:firstLineChars="200"/>
        <w:outlineLvl w:val="0"/>
        <w:rPr>
          <w:rFonts w:cs="Arial" w:asciiTheme="minorEastAsia" w:hAnsiTheme="minorEastAsia" w:eastAsiaTheme="minorEastAsia"/>
          <w:color w:val="000000"/>
          <w:sz w:val="24"/>
          <w:szCs w:val="24"/>
        </w:rPr>
      </w:pPr>
      <w:r>
        <w:rPr>
          <w:rFonts w:hint="eastAsia" w:cs="Arial" w:asciiTheme="minorEastAsia" w:hAnsiTheme="minorEastAsia" w:eastAsiaTheme="minorEastAsia"/>
          <w:color w:val="000000"/>
          <w:sz w:val="24"/>
          <w:szCs w:val="24"/>
        </w:rPr>
        <w:t>在获得乙方医学伦理委员会审查批准报告</w:t>
      </w:r>
      <w:r>
        <w:rPr>
          <w:rFonts w:hint="eastAsia" w:cs="Arial" w:asciiTheme="minorEastAsia" w:hAnsiTheme="minorEastAsia" w:eastAsiaTheme="minorEastAsia"/>
          <w:color w:val="000000"/>
          <w:sz w:val="24"/>
          <w:szCs w:val="24"/>
          <w:lang w:eastAsia="zh-CN"/>
        </w:rPr>
        <w:t>，</w:t>
      </w:r>
      <w:r>
        <w:rPr>
          <w:rFonts w:hint="eastAsia" w:cs="Arial" w:asciiTheme="minorEastAsia" w:hAnsiTheme="minorEastAsia" w:eastAsiaTheme="minorEastAsia"/>
          <w:color w:val="000000"/>
          <w:sz w:val="24"/>
          <w:szCs w:val="24"/>
        </w:rPr>
        <w:t>合同正式签订生效</w:t>
      </w:r>
      <w:r>
        <w:rPr>
          <w:rFonts w:hint="eastAsia" w:cs="Arial" w:asciiTheme="minorEastAsia" w:hAnsiTheme="minorEastAsia" w:eastAsiaTheme="minorEastAsia"/>
          <w:color w:val="000000"/>
          <w:sz w:val="24"/>
          <w:szCs w:val="24"/>
          <w:lang w:eastAsia="zh-CN"/>
        </w:rPr>
        <w:t>，</w:t>
      </w:r>
      <w:r>
        <w:rPr>
          <w:rFonts w:hint="eastAsia" w:cs="Arial" w:asciiTheme="minorEastAsia" w:hAnsiTheme="minorEastAsia" w:eastAsiaTheme="minorEastAsia"/>
          <w:color w:val="000000"/>
          <w:sz w:val="24"/>
          <w:szCs w:val="24"/>
        </w:rPr>
        <w:t>各种试验相关文件、试验用药物、研究经费、所有临床研究所需物资等到位后，乙方开始进行受试者筛选工作。乙方预期在工作正式开始后</w:t>
      </w:r>
      <w:r>
        <w:rPr>
          <w:rFonts w:hint="eastAsia" w:cs="Arial" w:asciiTheme="minorEastAsia" w:hAnsiTheme="minorEastAsia" w:eastAsiaTheme="minorEastAsia"/>
          <w:color w:val="000000"/>
          <w:sz w:val="24"/>
          <w:szCs w:val="24"/>
          <w:u w:val="single"/>
        </w:rPr>
        <w:t xml:space="preserve">   </w:t>
      </w:r>
      <w:r>
        <w:rPr>
          <w:rFonts w:hint="eastAsia" w:cs="Arial" w:asciiTheme="minorEastAsia" w:hAnsiTheme="minorEastAsia" w:eastAsiaTheme="minorEastAsia"/>
          <w:color w:val="000000"/>
          <w:sz w:val="24"/>
          <w:szCs w:val="24"/>
        </w:rPr>
        <w:t>个月内完成____例受试者的筛选、入组、临床观察，并提供符合我国药品注册及GCP要求的相关资料。若因试验用药</w:t>
      </w:r>
      <w:r>
        <w:rPr>
          <w:rFonts w:hint="eastAsia" w:cs="Arial" w:asciiTheme="minorEastAsia" w:hAnsiTheme="minorEastAsia" w:eastAsiaTheme="minorEastAsia"/>
          <w:color w:val="000000"/>
          <w:sz w:val="24"/>
          <w:szCs w:val="24"/>
          <w:lang w:eastAsia="zh-CN"/>
        </w:rPr>
        <w:t>品</w:t>
      </w:r>
      <w:r>
        <w:rPr>
          <w:rFonts w:hint="eastAsia" w:cs="Arial" w:asciiTheme="minorEastAsia" w:hAnsiTheme="minorEastAsia" w:eastAsiaTheme="minorEastAsia"/>
          <w:color w:val="000000"/>
          <w:sz w:val="24"/>
          <w:szCs w:val="24"/>
        </w:rPr>
        <w:t>、</w:t>
      </w:r>
      <w:r>
        <w:rPr>
          <w:rFonts w:hint="eastAsia" w:cs="Arial" w:asciiTheme="minorEastAsia" w:hAnsiTheme="minorEastAsia" w:eastAsiaTheme="minorEastAsia"/>
          <w:color w:val="000000"/>
          <w:sz w:val="24"/>
          <w:szCs w:val="24"/>
          <w:lang w:eastAsia="zh-CN"/>
        </w:rPr>
        <w:t>临床研究</w:t>
      </w:r>
      <w:r>
        <w:rPr>
          <w:rFonts w:hint="eastAsia" w:cs="Arial" w:asciiTheme="minorEastAsia" w:hAnsiTheme="minorEastAsia" w:eastAsiaTheme="minorEastAsia"/>
          <w:color w:val="000000"/>
          <w:sz w:val="24"/>
          <w:szCs w:val="24"/>
        </w:rPr>
        <w:t>方案、经费等原因造成延误，责任由甲方自负。</w:t>
      </w:r>
    </w:p>
    <w:p>
      <w:pPr>
        <w:keepNext w:val="0"/>
        <w:keepLines w:val="0"/>
        <w:pageBreakBefore w:val="0"/>
        <w:widowControl w:val="0"/>
        <w:kinsoku/>
        <w:wordWrap/>
        <w:overflowPunct/>
        <w:topLinePunct w:val="0"/>
        <w:bidi w:val="0"/>
        <w:snapToGrid/>
        <w:spacing w:before="156" w:beforeLines="50" w:line="360" w:lineRule="auto"/>
        <w:ind w:left="0" w:leftChars="0"/>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三、</w:t>
      </w:r>
      <w:r>
        <w:rPr>
          <w:rFonts w:cs="Arial" w:asciiTheme="minorEastAsia" w:hAnsiTheme="minorEastAsia" w:eastAsiaTheme="minorEastAsia"/>
          <w:b/>
          <w:color w:val="000000"/>
          <w:sz w:val="24"/>
          <w:szCs w:val="24"/>
        </w:rPr>
        <w:t>研究</w:t>
      </w:r>
      <w:r>
        <w:rPr>
          <w:rFonts w:hint="eastAsia" w:cs="Arial" w:asciiTheme="minorEastAsia" w:hAnsiTheme="minorEastAsia" w:eastAsiaTheme="minorEastAsia"/>
          <w:b/>
          <w:color w:val="000000"/>
          <w:sz w:val="24"/>
          <w:szCs w:val="24"/>
        </w:rPr>
        <w:t>经费及</w:t>
      </w:r>
      <w:r>
        <w:rPr>
          <w:rFonts w:cs="Arial" w:asciiTheme="minorEastAsia" w:hAnsiTheme="minorEastAsia" w:eastAsiaTheme="minorEastAsia"/>
          <w:b/>
          <w:color w:val="000000"/>
          <w:sz w:val="24"/>
          <w:szCs w:val="24"/>
        </w:rPr>
        <w:t>支付</w:t>
      </w:r>
      <w:r>
        <w:rPr>
          <w:rFonts w:hint="eastAsia" w:cs="Arial" w:asciiTheme="minorEastAsia" w:hAnsiTheme="minorEastAsia" w:eastAsiaTheme="minorEastAsia"/>
          <w:b/>
          <w:color w:val="000000"/>
          <w:sz w:val="24"/>
          <w:szCs w:val="24"/>
        </w:rPr>
        <w:t>方式</w:t>
      </w:r>
    </w:p>
    <w:p>
      <w:pPr>
        <w:keepNext w:val="0"/>
        <w:keepLines w:val="0"/>
        <w:pageBreakBefore w:val="0"/>
        <w:widowControl w:val="0"/>
        <w:kinsoku/>
        <w:wordWrap/>
        <w:overflowPunct/>
        <w:topLinePunct w:val="0"/>
        <w:bidi w:val="0"/>
        <w:adjustRightInd/>
        <w:snapToGrid/>
        <w:spacing w:line="360" w:lineRule="auto"/>
        <w:ind w:left="0" w:leftChars="0"/>
        <w:textAlignment w:val="auto"/>
        <w:rPr>
          <w:rFonts w:cs="楷体_GB2312" w:asciiTheme="minorEastAsia" w:hAnsiTheme="minorEastAsia" w:eastAsiaTheme="minorEastAsia"/>
          <w:b/>
          <w:color w:val="000000"/>
          <w:sz w:val="24"/>
          <w:szCs w:val="24"/>
        </w:rPr>
      </w:pPr>
      <w:r>
        <w:rPr>
          <w:rFonts w:hint="eastAsia" w:asciiTheme="minorEastAsia" w:hAnsiTheme="minorEastAsia" w:eastAsiaTheme="minorEastAsia"/>
          <w:b/>
          <w:sz w:val="24"/>
          <w:szCs w:val="24"/>
        </w:rPr>
        <w:t>（一）研究经费</w:t>
      </w:r>
      <w:r>
        <w:rPr>
          <w:rFonts w:hint="eastAsia" w:asciiTheme="minorEastAsia" w:hAnsiTheme="minorEastAsia" w:eastAsiaTheme="minorEastAsia"/>
          <w:sz w:val="24"/>
          <w:szCs w:val="24"/>
        </w:rPr>
        <w:t>：详见附件1</w:t>
      </w:r>
      <w:r>
        <w:rPr>
          <w:rFonts w:hint="eastAsia" w:asciiTheme="minorEastAsia" w:hAnsiTheme="minorEastAsia" w:eastAsiaTheme="minorEastAsia"/>
          <w:sz w:val="21"/>
          <w:szCs w:val="21"/>
        </w:rPr>
        <w:t>（</w:t>
      </w:r>
      <w:r>
        <w:rPr>
          <w:rFonts w:hint="eastAsia" w:asciiTheme="minorEastAsia" w:hAnsiTheme="minorEastAsia" w:eastAsiaTheme="minorEastAsia"/>
          <w:color w:val="FF0000"/>
          <w:sz w:val="21"/>
          <w:szCs w:val="21"/>
        </w:rPr>
        <w:t>以下内容可根据项目具体内容进行增减,具体收费标准见合同费用附件</w:t>
      </w:r>
      <w:r>
        <w:rPr>
          <w:rFonts w:hint="eastAsia" w:asciiTheme="minorEastAsia" w:hAnsiTheme="minorEastAsia" w:eastAsiaTheme="minorEastAsia"/>
          <w:sz w:val="21"/>
          <w:szCs w:val="21"/>
        </w:rPr>
        <w:t>）</w:t>
      </w:r>
    </w:p>
    <w:p>
      <w:pPr>
        <w:pStyle w:val="16"/>
        <w:keepNext w:val="0"/>
        <w:keepLines w:val="0"/>
        <w:pageBreakBefore w:val="0"/>
        <w:widowControl w:val="0"/>
        <w:numPr>
          <w:ilvl w:val="0"/>
          <w:numId w:val="4"/>
        </w:numPr>
        <w:kinsoku/>
        <w:wordWrap/>
        <w:overflowPunct/>
        <w:topLinePunct w:val="0"/>
        <w:bidi w:val="0"/>
        <w:snapToGrid/>
        <w:spacing w:line="360" w:lineRule="auto"/>
        <w:ind w:left="420" w:leftChars="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本试验计划入组</w:t>
      </w:r>
      <w:r>
        <w:rPr>
          <w:rFonts w:asciiTheme="minorEastAsia" w:hAnsiTheme="minorEastAsia" w:eastAsiaTheme="minorEastAsia"/>
          <w:sz w:val="24"/>
          <w:szCs w:val="24"/>
        </w:rPr>
        <w:t>____</w:t>
      </w:r>
      <w:r>
        <w:rPr>
          <w:rFonts w:hint="eastAsia" w:asciiTheme="minorEastAsia" w:hAnsiTheme="minorEastAsia" w:eastAsiaTheme="minorEastAsia"/>
          <w:sz w:val="24"/>
          <w:szCs w:val="24"/>
        </w:rPr>
        <w:t>例受试者，每例受试者费用为</w:t>
      </w:r>
      <w:r>
        <w:rPr>
          <w:rFonts w:hint="eastAsia" w:asciiTheme="minorEastAsia" w:hAnsiTheme="minorEastAsia" w:eastAsiaTheme="minorEastAsia"/>
          <w:sz w:val="24"/>
          <w:szCs w:val="24"/>
          <w:lang w:eastAsia="zh-CN"/>
        </w:rPr>
        <w:t>人民币</w:t>
      </w:r>
      <w:r>
        <w:rPr>
          <w:rFonts w:asciiTheme="minorEastAsia" w:hAnsiTheme="minorEastAsia" w:eastAsiaTheme="minorEastAsia"/>
          <w:sz w:val="24"/>
          <w:szCs w:val="24"/>
        </w:rPr>
        <w:t>___________</w:t>
      </w:r>
      <w:r>
        <w:rPr>
          <w:rFonts w:hint="eastAsia" w:asciiTheme="minorEastAsia" w:hAnsiTheme="minorEastAsia" w:eastAsiaTheme="minorEastAsia"/>
          <w:sz w:val="24"/>
          <w:szCs w:val="24"/>
        </w:rPr>
        <w:t>整（</w:t>
      </w:r>
      <w:r>
        <w:rPr>
          <w:rFonts w:hint="eastAsia" w:asciiTheme="minorEastAsia" w:hAnsiTheme="minorEastAsia" w:eastAsiaTheme="minorEastAsia"/>
          <w:sz w:val="24"/>
          <w:szCs w:val="24"/>
          <w:lang w:eastAsia="zh-CN"/>
        </w:rPr>
        <w:t>小写：</w:t>
      </w:r>
      <w:r>
        <w:rPr>
          <w:rFonts w:hint="eastAsia" w:asciiTheme="minorEastAsia" w:hAnsiTheme="minorEastAsia" w:eastAsiaTheme="minorEastAsia"/>
          <w:sz w:val="24"/>
          <w:szCs w:val="24"/>
          <w:lang w:val="en-US" w:eastAsia="zh-CN"/>
        </w:rPr>
        <w:t>¥</w:t>
      </w:r>
      <w:r>
        <w:rPr>
          <w:rFonts w:asciiTheme="minorEastAsia" w:hAnsiTheme="minorEastAsia" w:eastAsiaTheme="minorEastAsia"/>
          <w:sz w:val="24"/>
          <w:szCs w:val="24"/>
        </w:rPr>
        <w:t>______</w:t>
      </w:r>
      <w:r>
        <w:rPr>
          <w:rFonts w:hint="eastAsia" w:asciiTheme="minorEastAsia" w:hAnsiTheme="minorEastAsia" w:eastAsiaTheme="minorEastAsia"/>
          <w:sz w:val="24"/>
          <w:szCs w:val="24"/>
        </w:rPr>
        <w:t>），预计该项费用为：</w:t>
      </w:r>
      <w:r>
        <w:rPr>
          <w:rFonts w:hint="eastAsia" w:asciiTheme="minorEastAsia" w:hAnsiTheme="minorEastAsia" w:eastAsiaTheme="minorEastAsia"/>
          <w:sz w:val="24"/>
          <w:szCs w:val="24"/>
          <w:lang w:eastAsia="zh-CN"/>
        </w:rPr>
        <w:t>人民币</w:t>
      </w:r>
      <w:r>
        <w:rPr>
          <w:rFonts w:asciiTheme="minorEastAsia" w:hAnsiTheme="minorEastAsia" w:eastAsiaTheme="minorEastAsia"/>
          <w:sz w:val="24"/>
          <w:szCs w:val="24"/>
        </w:rPr>
        <w:t>_____________</w:t>
      </w:r>
      <w:r>
        <w:rPr>
          <w:rFonts w:hint="eastAsia" w:asciiTheme="minorEastAsia" w:hAnsiTheme="minorEastAsia" w:eastAsiaTheme="minorEastAsia"/>
          <w:sz w:val="24"/>
          <w:szCs w:val="24"/>
        </w:rPr>
        <w:t>整（</w:t>
      </w:r>
      <w:r>
        <w:rPr>
          <w:rFonts w:hint="eastAsia" w:asciiTheme="minorEastAsia" w:hAnsiTheme="minorEastAsia" w:eastAsiaTheme="minorEastAsia"/>
          <w:sz w:val="24"/>
          <w:szCs w:val="24"/>
          <w:lang w:eastAsia="zh-CN"/>
        </w:rPr>
        <w:t>小写：</w:t>
      </w:r>
      <w:r>
        <w:rPr>
          <w:rFonts w:hint="eastAsia" w:asciiTheme="minorEastAsia" w:hAnsiTheme="minorEastAsia" w:eastAsiaTheme="minorEastAsia"/>
          <w:sz w:val="24"/>
          <w:szCs w:val="24"/>
          <w:lang w:val="en-US" w:eastAsia="zh-CN"/>
        </w:rPr>
        <w:t>¥</w:t>
      </w:r>
      <w:r>
        <w:rPr>
          <w:rFonts w:asciiTheme="minorEastAsia" w:hAnsiTheme="minorEastAsia" w:eastAsiaTheme="minorEastAsia"/>
          <w:sz w:val="24"/>
          <w:szCs w:val="24"/>
        </w:rPr>
        <w:t>______</w:t>
      </w:r>
      <w:r>
        <w:rPr>
          <w:rFonts w:hint="eastAsia" w:asciiTheme="minorEastAsia" w:hAnsiTheme="minorEastAsia" w:eastAsiaTheme="minorEastAsia"/>
          <w:sz w:val="24"/>
          <w:szCs w:val="24"/>
        </w:rPr>
        <w:t>），此费用包括：研究者观察费、检验检查费、受试者补偿费、医院管理费。</w:t>
      </w:r>
    </w:p>
    <w:p>
      <w:pPr>
        <w:pStyle w:val="16"/>
        <w:keepNext w:val="0"/>
        <w:keepLines w:val="0"/>
        <w:pageBreakBefore w:val="0"/>
        <w:widowControl w:val="0"/>
        <w:numPr>
          <w:ilvl w:val="0"/>
          <w:numId w:val="5"/>
        </w:numPr>
        <w:kinsoku/>
        <w:wordWrap/>
        <w:overflowPunct/>
        <w:topLinePunct w:val="0"/>
        <w:bidi w:val="0"/>
        <w:snapToGrid/>
        <w:spacing w:line="360" w:lineRule="auto"/>
        <w:ind w:left="425" w:leftChars="0" w:hanging="425"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检验检查费（明细见附件2）：每例</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元，入组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例，合计</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w:t>
      </w:r>
      <w:r>
        <w:rPr>
          <w:rFonts w:asciiTheme="minorEastAsia" w:hAnsiTheme="minorEastAsia" w:eastAsiaTheme="minorEastAsia"/>
          <w:sz w:val="24"/>
          <w:szCs w:val="24"/>
        </w:rPr>
        <w:t xml:space="preserve"> </w:t>
      </w:r>
    </w:p>
    <w:p>
      <w:pPr>
        <w:pStyle w:val="16"/>
        <w:keepNext w:val="0"/>
        <w:keepLines w:val="0"/>
        <w:pageBreakBefore w:val="0"/>
        <w:widowControl w:val="0"/>
        <w:numPr>
          <w:ilvl w:val="0"/>
          <w:numId w:val="5"/>
        </w:numPr>
        <w:kinsoku/>
        <w:wordWrap/>
        <w:overflowPunct/>
        <w:topLinePunct w:val="0"/>
        <w:bidi w:val="0"/>
        <w:snapToGrid/>
        <w:spacing w:line="360" w:lineRule="auto"/>
        <w:ind w:left="425" w:leftChars="0" w:hanging="425"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受试者补偿费（含交通补助、营养补助及其他补助等，明细见附件3）：每例</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元，入组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例，合计</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w:t>
      </w:r>
    </w:p>
    <w:p>
      <w:pPr>
        <w:pStyle w:val="16"/>
        <w:keepNext w:val="0"/>
        <w:keepLines w:val="0"/>
        <w:pageBreakBefore w:val="0"/>
        <w:widowControl w:val="0"/>
        <w:numPr>
          <w:ilvl w:val="0"/>
          <w:numId w:val="5"/>
        </w:numPr>
        <w:kinsoku/>
        <w:wordWrap/>
        <w:overflowPunct/>
        <w:topLinePunct w:val="0"/>
        <w:bidi w:val="0"/>
        <w:snapToGrid/>
        <w:spacing w:line="360" w:lineRule="auto"/>
        <w:ind w:left="425" w:leftChars="0" w:hanging="425"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研究者观察费（明细见附件1、附件4）：每例</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元，入组</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例，合计</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元；</w:t>
      </w:r>
      <w:r>
        <w:rPr>
          <w:rFonts w:asciiTheme="minorEastAsia" w:hAnsiTheme="minorEastAsia" w:eastAsiaTheme="minorEastAsia"/>
          <w:sz w:val="24"/>
          <w:szCs w:val="24"/>
        </w:rPr>
        <w:t xml:space="preserve"> </w:t>
      </w:r>
    </w:p>
    <w:p>
      <w:pPr>
        <w:pStyle w:val="16"/>
        <w:keepNext w:val="0"/>
        <w:keepLines w:val="0"/>
        <w:pageBreakBefore w:val="0"/>
        <w:widowControl w:val="0"/>
        <w:numPr>
          <w:ilvl w:val="0"/>
          <w:numId w:val="5"/>
        </w:numPr>
        <w:kinsoku/>
        <w:wordWrap/>
        <w:overflowPunct/>
        <w:topLinePunct w:val="0"/>
        <w:bidi w:val="0"/>
        <w:snapToGrid/>
        <w:spacing w:line="360" w:lineRule="auto"/>
        <w:ind w:left="425" w:leftChars="0" w:hanging="425"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医院管理费（合同总额减去受试者补偿费后20</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r>
        <w:rPr>
          <w:rFonts w:asciiTheme="minorEastAsia" w:hAnsiTheme="minorEastAsia" w:eastAsiaTheme="minorEastAsia"/>
          <w:sz w:val="24"/>
          <w:szCs w:val="24"/>
        </w:rPr>
        <w:t>______</w:t>
      </w:r>
      <w:r>
        <w:rPr>
          <w:rFonts w:hint="eastAsia" w:asciiTheme="minorEastAsia" w:hAnsiTheme="minorEastAsia" w:eastAsiaTheme="minorEastAsia"/>
          <w:sz w:val="24"/>
          <w:szCs w:val="24"/>
        </w:rPr>
        <w:t>元；</w:t>
      </w:r>
    </w:p>
    <w:p>
      <w:pPr>
        <w:pStyle w:val="16"/>
        <w:keepNext w:val="0"/>
        <w:keepLines w:val="0"/>
        <w:pageBreakBefore w:val="0"/>
        <w:widowControl w:val="0"/>
        <w:numPr>
          <w:ilvl w:val="0"/>
          <w:numId w:val="4"/>
        </w:numPr>
        <w:kinsoku/>
        <w:wordWrap/>
        <w:overflowPunct/>
        <w:topLinePunct w:val="0"/>
        <w:bidi w:val="0"/>
        <w:snapToGrid/>
        <w:spacing w:line="360" w:lineRule="auto"/>
        <w:ind w:left="420" w:leftChars="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立项审查费：</w:t>
      </w:r>
      <w:r>
        <w:rPr>
          <w:rFonts w:hint="eastAsia" w:asciiTheme="minorEastAsia" w:hAnsiTheme="minorEastAsia" w:eastAsiaTheme="minorEastAsia"/>
          <w:sz w:val="24"/>
          <w:szCs w:val="24"/>
          <w:u w:val="single"/>
        </w:rPr>
        <w:t xml:space="preserve"> 4000  </w:t>
      </w:r>
      <w:r>
        <w:rPr>
          <w:rFonts w:hint="eastAsia" w:asciiTheme="minorEastAsia" w:hAnsiTheme="minorEastAsia" w:eastAsiaTheme="minorEastAsia"/>
          <w:sz w:val="24"/>
          <w:szCs w:val="24"/>
        </w:rPr>
        <w:t>元；</w:t>
      </w:r>
    </w:p>
    <w:p>
      <w:pPr>
        <w:pStyle w:val="16"/>
        <w:keepNext w:val="0"/>
        <w:keepLines w:val="0"/>
        <w:pageBreakBefore w:val="0"/>
        <w:widowControl w:val="0"/>
        <w:numPr>
          <w:ilvl w:val="0"/>
          <w:numId w:val="4"/>
        </w:numPr>
        <w:kinsoku/>
        <w:wordWrap/>
        <w:overflowPunct/>
        <w:topLinePunct w:val="0"/>
        <w:bidi w:val="0"/>
        <w:snapToGrid/>
        <w:spacing w:line="360" w:lineRule="auto"/>
        <w:ind w:left="420" w:leftChars="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机构质控费：</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w:t>
      </w:r>
    </w:p>
    <w:p>
      <w:pPr>
        <w:pStyle w:val="16"/>
        <w:keepNext w:val="0"/>
        <w:keepLines w:val="0"/>
        <w:pageBreakBefore w:val="0"/>
        <w:widowControl w:val="0"/>
        <w:numPr>
          <w:ilvl w:val="0"/>
          <w:numId w:val="4"/>
        </w:numPr>
        <w:kinsoku/>
        <w:wordWrap/>
        <w:overflowPunct/>
        <w:topLinePunct w:val="0"/>
        <w:bidi w:val="0"/>
        <w:snapToGrid/>
        <w:spacing w:line="360" w:lineRule="auto"/>
        <w:ind w:left="420" w:leftChars="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药物管理费：</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w:t>
      </w:r>
    </w:p>
    <w:p>
      <w:pPr>
        <w:pStyle w:val="16"/>
        <w:keepNext w:val="0"/>
        <w:keepLines w:val="0"/>
        <w:pageBreakBefore w:val="0"/>
        <w:widowControl w:val="0"/>
        <w:numPr>
          <w:ilvl w:val="0"/>
          <w:numId w:val="4"/>
        </w:numPr>
        <w:kinsoku/>
        <w:wordWrap/>
        <w:overflowPunct/>
        <w:topLinePunct w:val="0"/>
        <w:bidi w:val="0"/>
        <w:snapToGrid/>
        <w:spacing w:line="360" w:lineRule="auto"/>
        <w:ind w:left="420" w:leftChars="0" w:firstLineChars="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遗传办协办费：</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元；</w:t>
      </w:r>
    </w:p>
    <w:p>
      <w:pPr>
        <w:pStyle w:val="16"/>
        <w:keepNext w:val="0"/>
        <w:keepLines w:val="0"/>
        <w:pageBreakBefore w:val="0"/>
        <w:widowControl w:val="0"/>
        <w:numPr>
          <w:ilvl w:val="0"/>
          <w:numId w:val="4"/>
        </w:numPr>
        <w:kinsoku/>
        <w:wordWrap/>
        <w:overflowPunct/>
        <w:topLinePunct w:val="0"/>
        <w:bidi w:val="0"/>
        <w:snapToGrid/>
        <w:spacing w:line="360" w:lineRule="auto"/>
        <w:ind w:left="420" w:leftChars="0" w:firstLineChars="0"/>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样本处理费：</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none"/>
        </w:rPr>
        <w:t>元；</w:t>
      </w:r>
    </w:p>
    <w:p>
      <w:pPr>
        <w:pStyle w:val="16"/>
        <w:keepNext w:val="0"/>
        <w:keepLines w:val="0"/>
        <w:pageBreakBefore w:val="0"/>
        <w:widowControl w:val="0"/>
        <w:numPr>
          <w:ilvl w:val="0"/>
          <w:numId w:val="4"/>
        </w:numPr>
        <w:kinsoku/>
        <w:wordWrap/>
        <w:overflowPunct/>
        <w:topLinePunct w:val="0"/>
        <w:bidi w:val="0"/>
        <w:snapToGrid/>
        <w:spacing w:line="360" w:lineRule="auto"/>
        <w:ind w:left="420" w:leftChars="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档案管理费：乙方免费保管至试验结束或终止后5年。 如需继续在乙方保管，则保管费按200元/例/年起步，每超过一年管理费标准递增10%；</w:t>
      </w:r>
    </w:p>
    <w:p>
      <w:pPr>
        <w:pStyle w:val="16"/>
        <w:keepNext w:val="0"/>
        <w:keepLines w:val="0"/>
        <w:pageBreakBefore w:val="0"/>
        <w:widowControl w:val="0"/>
        <w:numPr>
          <w:ilvl w:val="0"/>
          <w:numId w:val="4"/>
        </w:numPr>
        <w:kinsoku/>
        <w:wordWrap/>
        <w:overflowPunct/>
        <w:topLinePunct w:val="0"/>
        <w:bidi w:val="0"/>
        <w:snapToGrid/>
        <w:spacing w:line="360" w:lineRule="auto"/>
        <w:ind w:left="420" w:leftChars="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其他费用：</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none"/>
        </w:rPr>
        <w:t xml:space="preserve"> </w:t>
      </w:r>
      <w:r>
        <w:rPr>
          <w:rFonts w:hint="eastAsia" w:asciiTheme="minorEastAsia" w:hAnsiTheme="minorEastAsia" w:eastAsiaTheme="minorEastAsia"/>
          <w:sz w:val="24"/>
          <w:szCs w:val="24"/>
          <w:u w:val="none"/>
        </w:rPr>
        <w:t>元；</w:t>
      </w:r>
    </w:p>
    <w:p>
      <w:pPr>
        <w:pStyle w:val="16"/>
        <w:keepNext w:val="0"/>
        <w:keepLines w:val="0"/>
        <w:pageBreakBefore w:val="0"/>
        <w:widowControl w:val="0"/>
        <w:numPr>
          <w:ilvl w:val="0"/>
          <w:numId w:val="4"/>
        </w:numPr>
        <w:kinsoku/>
        <w:wordWrap/>
        <w:overflowPunct/>
        <w:topLinePunct w:val="0"/>
        <w:bidi w:val="0"/>
        <w:snapToGrid/>
        <w:spacing w:line="360" w:lineRule="auto"/>
        <w:ind w:left="420" w:leftChars="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试验总费用：</w:t>
      </w:r>
      <w:r>
        <w:rPr>
          <w:rFonts w:hint="eastAsia" w:asciiTheme="minorEastAsia" w:hAnsiTheme="minorEastAsia" w:eastAsiaTheme="minorEastAsia"/>
          <w:sz w:val="24"/>
          <w:szCs w:val="24"/>
          <w:lang w:eastAsia="zh-CN"/>
        </w:rPr>
        <w:t>人民币</w:t>
      </w:r>
      <w:r>
        <w:rPr>
          <w:rFonts w:asciiTheme="minorEastAsia" w:hAnsiTheme="minorEastAsia" w:eastAsiaTheme="minorEastAsia"/>
          <w:sz w:val="24"/>
          <w:szCs w:val="24"/>
        </w:rPr>
        <w:t>_____________</w:t>
      </w:r>
      <w:r>
        <w:rPr>
          <w:rFonts w:hint="eastAsia" w:asciiTheme="minorEastAsia" w:hAnsiTheme="minorEastAsia" w:eastAsiaTheme="minorEastAsia"/>
          <w:sz w:val="24"/>
          <w:szCs w:val="24"/>
        </w:rPr>
        <w:t>整（</w:t>
      </w:r>
      <w:r>
        <w:rPr>
          <w:rFonts w:hint="eastAsia" w:asciiTheme="minorEastAsia" w:hAnsiTheme="minorEastAsia" w:eastAsiaTheme="minorEastAsia"/>
          <w:sz w:val="24"/>
          <w:szCs w:val="24"/>
          <w:lang w:eastAsia="zh-CN"/>
        </w:rPr>
        <w:t>小写：</w:t>
      </w:r>
      <w:r>
        <w:rPr>
          <w:rFonts w:hint="eastAsia" w:asciiTheme="minorEastAsia" w:hAnsiTheme="minorEastAsia" w:eastAsiaTheme="minorEastAsia"/>
          <w:sz w:val="24"/>
          <w:szCs w:val="24"/>
          <w:lang w:val="en-US" w:eastAsia="zh-CN"/>
        </w:rPr>
        <w:t>¥</w:t>
      </w:r>
      <w:r>
        <w:rPr>
          <w:rFonts w:asciiTheme="minorEastAsia" w:hAnsiTheme="minorEastAsia" w:eastAsiaTheme="minorEastAsia"/>
          <w:sz w:val="24"/>
          <w:szCs w:val="24"/>
        </w:rPr>
        <w:t>______</w:t>
      </w:r>
      <w:r>
        <w:rPr>
          <w:rFonts w:hint="eastAsia" w:asciiTheme="minorEastAsia" w:hAnsiTheme="minorEastAsia" w:eastAsiaTheme="minorEastAsia"/>
          <w:sz w:val="24"/>
          <w:szCs w:val="24"/>
        </w:rPr>
        <w:t>），税费：</w:t>
      </w:r>
      <w:r>
        <w:rPr>
          <w:rFonts w:hint="eastAsia" w:asciiTheme="minorEastAsia" w:hAnsiTheme="minorEastAsia" w:eastAsiaTheme="minorEastAsia"/>
          <w:sz w:val="24"/>
          <w:szCs w:val="24"/>
          <w:lang w:eastAsia="zh-CN"/>
        </w:rPr>
        <w:t>人民币</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整（</w:t>
      </w:r>
      <w:r>
        <w:rPr>
          <w:rFonts w:hint="eastAsia" w:asciiTheme="minorEastAsia" w:hAnsiTheme="minorEastAsia" w:eastAsiaTheme="minorEastAsia"/>
          <w:sz w:val="24"/>
          <w:szCs w:val="24"/>
          <w:lang w:eastAsia="zh-CN"/>
        </w:rPr>
        <w:t>小写：</w:t>
      </w:r>
      <w:r>
        <w:rPr>
          <w:rFonts w:hint="eastAsia" w:asciiTheme="minorEastAsia" w:hAnsiTheme="minorEastAsia" w:eastAsiaTheme="minorEastAsia"/>
          <w:sz w:val="24"/>
          <w:szCs w:val="24"/>
          <w:lang w:val="en-US" w:eastAsia="zh-CN"/>
        </w:rPr>
        <w:t>¥</w:t>
      </w:r>
      <w:r>
        <w:rPr>
          <w:rFonts w:asciiTheme="minorEastAsia" w:hAnsiTheme="minorEastAsia" w:eastAsiaTheme="minorEastAsia"/>
          <w:sz w:val="24"/>
          <w:szCs w:val="24"/>
        </w:rPr>
        <w:t>______</w:t>
      </w:r>
      <w:r>
        <w:rPr>
          <w:rFonts w:hint="eastAsia" w:asciiTheme="minorEastAsia" w:hAnsiTheme="minorEastAsia" w:eastAsiaTheme="minorEastAsia"/>
          <w:sz w:val="24"/>
          <w:szCs w:val="24"/>
        </w:rPr>
        <w:t>），含税总计：</w:t>
      </w:r>
      <w:r>
        <w:rPr>
          <w:rFonts w:hint="eastAsia" w:asciiTheme="minorEastAsia" w:hAnsiTheme="minorEastAsia" w:eastAsiaTheme="minorEastAsia"/>
          <w:sz w:val="24"/>
          <w:szCs w:val="24"/>
          <w:lang w:eastAsia="zh-CN"/>
        </w:rPr>
        <w:t>人民币</w:t>
      </w:r>
      <w:r>
        <w:rPr>
          <w:rFonts w:asciiTheme="minorEastAsia" w:hAnsiTheme="minorEastAsia" w:eastAsiaTheme="minorEastAsia"/>
          <w:sz w:val="24"/>
          <w:szCs w:val="24"/>
        </w:rPr>
        <w:t>______________</w:t>
      </w:r>
      <w:r>
        <w:rPr>
          <w:rFonts w:hint="eastAsia" w:asciiTheme="minorEastAsia" w:hAnsiTheme="minorEastAsia" w:eastAsiaTheme="minorEastAsia"/>
          <w:sz w:val="24"/>
          <w:szCs w:val="24"/>
        </w:rPr>
        <w:t>整（</w:t>
      </w:r>
      <w:r>
        <w:rPr>
          <w:rFonts w:hint="eastAsia" w:asciiTheme="minorEastAsia" w:hAnsiTheme="minorEastAsia" w:eastAsiaTheme="minorEastAsia"/>
          <w:sz w:val="24"/>
          <w:szCs w:val="24"/>
          <w:lang w:eastAsia="zh-CN"/>
        </w:rPr>
        <w:t>小</w:t>
      </w:r>
      <w:r>
        <w:rPr>
          <w:rFonts w:hint="eastAsia" w:asciiTheme="minorEastAsia" w:hAnsiTheme="minorEastAsia" w:eastAsiaTheme="minorEastAsia"/>
          <w:sz w:val="24"/>
          <w:szCs w:val="24"/>
        </w:rPr>
        <w:t>写</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w:t>
      </w:r>
      <w:r>
        <w:rPr>
          <w:rFonts w:asciiTheme="minorEastAsia" w:hAnsiTheme="minorEastAsia" w:eastAsiaTheme="minorEastAsia"/>
          <w:sz w:val="24"/>
          <w:szCs w:val="24"/>
        </w:rPr>
        <w:t>______</w:t>
      </w:r>
      <w:r>
        <w:rPr>
          <w:rFonts w:hint="eastAsia" w:asciiTheme="minorEastAsia" w:hAnsiTheme="minorEastAsia" w:eastAsiaTheme="minorEastAsia"/>
          <w:sz w:val="24"/>
          <w:szCs w:val="24"/>
        </w:rPr>
        <w:t>）。</w:t>
      </w:r>
      <w:r>
        <w:rPr>
          <w:rFonts w:asciiTheme="minorEastAsia" w:hAnsiTheme="minorEastAsia" w:eastAsiaTheme="minorEastAsia"/>
          <w:color w:val="FF0000"/>
          <w:sz w:val="24"/>
          <w:szCs w:val="24"/>
        </w:rPr>
        <w:t xml:space="preserve"> </w:t>
      </w:r>
    </w:p>
    <w:p>
      <w:pPr>
        <w:keepNext w:val="0"/>
        <w:keepLines w:val="0"/>
        <w:pageBreakBefore w:val="0"/>
        <w:widowControl w:val="0"/>
        <w:kinsoku/>
        <w:wordWrap/>
        <w:overflowPunct/>
        <w:topLinePunct w:val="0"/>
        <w:bidi w:val="0"/>
        <w:snapToGrid/>
        <w:spacing w:before="156" w:beforeLines="50" w:line="360" w:lineRule="auto"/>
        <w:ind w:left="0" w:leftChars="0"/>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（二）支付方式及进度</w:t>
      </w:r>
    </w:p>
    <w:p>
      <w:pPr>
        <w:pStyle w:val="16"/>
        <w:keepNext w:val="0"/>
        <w:keepLines w:val="0"/>
        <w:pageBreakBefore w:val="0"/>
        <w:widowControl w:val="0"/>
        <w:numPr>
          <w:ilvl w:val="0"/>
          <w:numId w:val="6"/>
        </w:numPr>
        <w:kinsoku/>
        <w:wordWrap/>
        <w:overflowPunct/>
        <w:topLinePunct w:val="0"/>
        <w:bidi w:val="0"/>
        <w:snapToGrid/>
        <w:spacing w:line="360" w:lineRule="auto"/>
        <w:ind w:left="425" w:leftChars="0" w:hanging="425" w:firstLineChars="0"/>
        <w:rPr>
          <w:rFonts w:asciiTheme="minorEastAsia" w:hAnsiTheme="minorEastAsia" w:eastAsiaTheme="minorEastAsia"/>
          <w:color w:val="000000"/>
          <w:sz w:val="24"/>
        </w:rPr>
      </w:pPr>
      <w:r>
        <w:rPr>
          <w:rFonts w:hint="eastAsia" w:asciiTheme="minorEastAsia" w:hAnsiTheme="minorEastAsia" w:eastAsiaTheme="minorEastAsia"/>
          <w:color w:val="000000"/>
          <w:sz w:val="24"/>
        </w:rPr>
        <w:t>甲方于本项目</w:t>
      </w:r>
      <w:r>
        <w:rPr>
          <w:rFonts w:hint="eastAsia" w:asciiTheme="minorEastAsia" w:hAnsiTheme="minorEastAsia" w:eastAsiaTheme="minorEastAsia"/>
          <w:color w:val="000000"/>
          <w:sz w:val="24"/>
          <w:lang w:eastAsia="zh-CN"/>
        </w:rPr>
        <w:t>协议</w:t>
      </w:r>
      <w:r>
        <w:rPr>
          <w:rFonts w:hint="eastAsia" w:asciiTheme="minorEastAsia" w:hAnsiTheme="minorEastAsia" w:eastAsiaTheme="minorEastAsia"/>
          <w:color w:val="000000"/>
          <w:sz w:val="24"/>
        </w:rPr>
        <w:t>签署后5-</w:t>
      </w:r>
      <w:r>
        <w:rPr>
          <w:rFonts w:hint="eastAsia" w:ascii="宋体" w:hAnsi="宋体" w:eastAsia="宋体"/>
          <w:sz w:val="24"/>
          <w:szCs w:val="24"/>
        </w:rPr>
        <w:t>10个工作日内向乙方支付</w:t>
      </w:r>
      <w:r>
        <w:rPr>
          <w:rFonts w:hint="eastAsia" w:ascii="宋体" w:hAnsi="宋体" w:eastAsia="宋体"/>
          <w:sz w:val="24"/>
          <w:szCs w:val="24"/>
          <w:lang w:eastAsia="zh-CN"/>
        </w:rPr>
        <w:t>机构管理费、</w:t>
      </w:r>
      <w:r>
        <w:rPr>
          <w:rFonts w:hint="eastAsia" w:ascii="宋体" w:hAnsi="宋体" w:eastAsia="宋体"/>
          <w:sz w:val="24"/>
          <w:szCs w:val="24"/>
        </w:rPr>
        <w:t>研究者观察费和受试者检验检查、补偿费的30%，以及立项审查费、药物管理费、机构质控费、档案管理费、遗传办协办费、样本处理费</w:t>
      </w:r>
      <w:r>
        <w:rPr>
          <w:rFonts w:hint="eastAsia" w:asciiTheme="minorEastAsia" w:hAnsiTheme="minorEastAsia" w:eastAsiaTheme="minorEastAsia"/>
          <w:color w:val="000000"/>
          <w:sz w:val="24"/>
        </w:rPr>
        <w:t>，即</w:t>
      </w:r>
      <w:r>
        <w:rPr>
          <w:rFonts w:hint="eastAsia" w:asciiTheme="minorEastAsia" w:hAnsiTheme="minorEastAsia" w:eastAsiaTheme="minorEastAsia"/>
          <w:color w:val="000000"/>
          <w:sz w:val="24"/>
          <w:lang w:eastAsia="zh-CN"/>
        </w:rPr>
        <w:t>人民币</w:t>
      </w:r>
      <w:r>
        <w:rPr>
          <w:rFonts w:hint="eastAsia" w:asciiTheme="minorEastAsia" w:hAnsiTheme="minorEastAsia" w:eastAsiaTheme="minorEastAsia"/>
          <w:color w:val="000000"/>
          <w:sz w:val="24"/>
        </w:rPr>
        <w:t>____________整（</w:t>
      </w:r>
      <w:r>
        <w:rPr>
          <w:rFonts w:hint="eastAsia" w:asciiTheme="minorEastAsia" w:hAnsiTheme="minorEastAsia" w:eastAsiaTheme="minorEastAsia"/>
          <w:color w:val="000000"/>
          <w:sz w:val="24"/>
          <w:lang w:eastAsia="zh-CN"/>
        </w:rPr>
        <w:t>小写：</w:t>
      </w:r>
      <w:r>
        <w:rPr>
          <w:rFonts w:hint="eastAsia" w:asciiTheme="minorEastAsia" w:hAnsiTheme="minorEastAsia" w:eastAsiaTheme="minorEastAsia"/>
          <w:color w:val="000000"/>
          <w:sz w:val="24"/>
          <w:lang w:val="en-US" w:eastAsia="zh-CN"/>
        </w:rPr>
        <w:t>¥</w:t>
      </w:r>
      <w:r>
        <w:rPr>
          <w:rFonts w:hint="eastAsia" w:asciiTheme="minorEastAsia" w:hAnsiTheme="minorEastAsia" w:eastAsiaTheme="minorEastAsia"/>
          <w:color w:val="000000"/>
          <w:sz w:val="24"/>
        </w:rPr>
        <w:t>______</w:t>
      </w:r>
      <w:r>
        <w:rPr>
          <w:rFonts w:hint="eastAsia" w:asciiTheme="minorEastAsia" w:hAnsiTheme="minorEastAsia" w:eastAsiaTheme="minorEastAsia"/>
          <w:color w:val="000000"/>
          <w:sz w:val="24"/>
          <w:lang w:eastAsia="zh-CN"/>
        </w:rPr>
        <w:t>）</w:t>
      </w:r>
      <w:r>
        <w:rPr>
          <w:rFonts w:hint="eastAsia" w:asciiTheme="minorEastAsia" w:hAnsiTheme="minorEastAsia" w:eastAsiaTheme="minorEastAsia"/>
          <w:color w:val="000000"/>
          <w:sz w:val="24"/>
        </w:rPr>
        <w:t>含税，</w:t>
      </w:r>
      <w:r>
        <w:rPr>
          <w:rFonts w:hint="eastAsia" w:asciiTheme="minorEastAsia" w:hAnsiTheme="minorEastAsia" w:eastAsiaTheme="minorEastAsia"/>
          <w:sz w:val="24"/>
        </w:rPr>
        <w:t>并于汇款时备注</w:t>
      </w:r>
      <w:r>
        <w:rPr>
          <w:rFonts w:hint="eastAsia" w:eastAsiaTheme="minorEastAsia"/>
          <w:sz w:val="24"/>
          <w:szCs w:val="24"/>
        </w:rPr>
        <w:t>“GCP Ⅰ/Ⅱ/Ⅲ/Ⅳ期-试验用药品名称（PI姓名）</w:t>
      </w:r>
      <w:r>
        <w:rPr>
          <w:rFonts w:hint="eastAsia" w:asciiTheme="minorEastAsia" w:hAnsiTheme="minorEastAsia" w:eastAsiaTheme="minorEastAsia"/>
          <w:sz w:val="24"/>
        </w:rPr>
        <w:t>”，乙方</w:t>
      </w:r>
      <w:r>
        <w:rPr>
          <w:rFonts w:hint="eastAsia" w:asciiTheme="minorEastAsia" w:hAnsiTheme="minorEastAsia" w:eastAsiaTheme="minorEastAsia"/>
          <w:color w:val="000000"/>
          <w:sz w:val="24"/>
        </w:rPr>
        <w:t>待款项到账后方可启动本项目研究工作。</w:t>
      </w:r>
    </w:p>
    <w:p>
      <w:pPr>
        <w:pStyle w:val="16"/>
        <w:keepNext w:val="0"/>
        <w:keepLines w:val="0"/>
        <w:pageBreakBefore w:val="0"/>
        <w:widowControl w:val="0"/>
        <w:numPr>
          <w:ilvl w:val="0"/>
          <w:numId w:val="6"/>
        </w:numPr>
        <w:kinsoku/>
        <w:wordWrap/>
        <w:overflowPunct/>
        <w:topLinePunct w:val="0"/>
        <w:bidi w:val="0"/>
        <w:snapToGrid/>
        <w:spacing w:line="360" w:lineRule="auto"/>
        <w:ind w:left="425" w:leftChars="0" w:hanging="425" w:firstLineChars="0"/>
        <w:rPr>
          <w:rFonts w:asciiTheme="minorEastAsia" w:hAnsiTheme="minorEastAsia" w:eastAsiaTheme="minorEastAsia"/>
          <w:color w:val="000000"/>
          <w:sz w:val="24"/>
        </w:rPr>
      </w:pPr>
      <w:r>
        <w:rPr>
          <w:rFonts w:hint="eastAsia" w:asciiTheme="minorEastAsia" w:hAnsiTheme="minorEastAsia" w:eastAsiaTheme="minorEastAsia"/>
          <w:color w:val="000000"/>
          <w:sz w:val="24"/>
        </w:rPr>
        <w:t>试验中期（入组例数为</w:t>
      </w:r>
      <w:r>
        <w:rPr>
          <w:rFonts w:hint="eastAsia" w:asciiTheme="minorEastAsia" w:hAnsiTheme="minorEastAsia" w:eastAsiaTheme="minorEastAsia"/>
          <w:color w:val="000000"/>
          <w:sz w:val="24"/>
          <w:lang w:eastAsia="zh-CN"/>
        </w:rPr>
        <w:t>协议</w:t>
      </w:r>
      <w:r>
        <w:rPr>
          <w:rFonts w:hint="eastAsia" w:asciiTheme="minorEastAsia" w:hAnsiTheme="minorEastAsia" w:eastAsiaTheme="minorEastAsia"/>
          <w:color w:val="000000"/>
          <w:sz w:val="24"/>
        </w:rPr>
        <w:t>约定例数的50%时），甲方在达到前述标准后5-10个工作日内向乙方支付</w:t>
      </w:r>
      <w:r>
        <w:rPr>
          <w:rFonts w:hint="eastAsia" w:asciiTheme="minorEastAsia" w:hAnsiTheme="minorEastAsia" w:eastAsiaTheme="minorEastAsia"/>
          <w:color w:val="000000"/>
          <w:sz w:val="24"/>
          <w:lang w:eastAsia="zh-CN"/>
        </w:rPr>
        <w:t>机构管理费、</w:t>
      </w:r>
      <w:r>
        <w:rPr>
          <w:rFonts w:hint="eastAsia" w:asciiTheme="minorEastAsia" w:hAnsiTheme="minorEastAsia" w:eastAsiaTheme="minorEastAsia"/>
          <w:color w:val="000000"/>
          <w:sz w:val="24"/>
        </w:rPr>
        <w:t>研究者观察费和受试者检验检查、补偿费的40%，即</w:t>
      </w:r>
      <w:r>
        <w:rPr>
          <w:rFonts w:hint="eastAsia" w:asciiTheme="minorEastAsia" w:hAnsiTheme="minorEastAsia" w:eastAsiaTheme="minorEastAsia"/>
          <w:color w:val="000000"/>
          <w:sz w:val="24"/>
          <w:lang w:eastAsia="zh-CN"/>
        </w:rPr>
        <w:t>人民币</w:t>
      </w:r>
      <w:r>
        <w:rPr>
          <w:rFonts w:hint="eastAsia" w:asciiTheme="minorEastAsia" w:hAnsiTheme="minorEastAsia" w:eastAsiaTheme="minorEastAsia"/>
          <w:color w:val="000000"/>
          <w:sz w:val="24"/>
        </w:rPr>
        <w:t>____________整（</w:t>
      </w:r>
      <w:r>
        <w:rPr>
          <w:rFonts w:hint="eastAsia" w:asciiTheme="minorEastAsia" w:hAnsiTheme="minorEastAsia" w:eastAsiaTheme="minorEastAsia"/>
          <w:color w:val="000000"/>
          <w:sz w:val="24"/>
          <w:lang w:eastAsia="zh-CN"/>
        </w:rPr>
        <w:t>小写：</w:t>
      </w:r>
      <w:r>
        <w:rPr>
          <w:rFonts w:hint="eastAsia" w:asciiTheme="minorEastAsia" w:hAnsiTheme="minorEastAsia" w:eastAsiaTheme="minorEastAsia"/>
          <w:color w:val="000000"/>
          <w:sz w:val="24"/>
          <w:lang w:val="en-US" w:eastAsia="zh-CN"/>
        </w:rPr>
        <w:t>¥</w:t>
      </w:r>
      <w:r>
        <w:rPr>
          <w:rFonts w:hint="eastAsia" w:asciiTheme="minorEastAsia" w:hAnsiTheme="minorEastAsia" w:eastAsiaTheme="minorEastAsia"/>
          <w:color w:val="000000"/>
          <w:sz w:val="24"/>
        </w:rPr>
        <w:t>______</w:t>
      </w:r>
      <w:r>
        <w:rPr>
          <w:rFonts w:hint="eastAsia" w:asciiTheme="minorEastAsia" w:hAnsiTheme="minorEastAsia" w:eastAsiaTheme="minorEastAsia"/>
          <w:color w:val="000000"/>
          <w:sz w:val="24"/>
          <w:lang w:eastAsia="zh-CN"/>
        </w:rPr>
        <w:t>）</w:t>
      </w:r>
      <w:r>
        <w:rPr>
          <w:rFonts w:hint="eastAsia" w:asciiTheme="minorEastAsia" w:hAnsiTheme="minorEastAsia" w:eastAsiaTheme="minorEastAsia"/>
          <w:color w:val="000000"/>
          <w:sz w:val="24"/>
        </w:rPr>
        <w:t>含税。</w:t>
      </w:r>
    </w:p>
    <w:p>
      <w:pPr>
        <w:pStyle w:val="16"/>
        <w:keepNext w:val="0"/>
        <w:keepLines w:val="0"/>
        <w:pageBreakBefore w:val="0"/>
        <w:widowControl w:val="0"/>
        <w:numPr>
          <w:ilvl w:val="0"/>
          <w:numId w:val="6"/>
        </w:numPr>
        <w:kinsoku/>
        <w:wordWrap/>
        <w:overflowPunct/>
        <w:topLinePunct w:val="0"/>
        <w:bidi w:val="0"/>
        <w:snapToGrid/>
        <w:spacing w:line="360" w:lineRule="auto"/>
        <w:ind w:left="425" w:leftChars="0" w:hanging="425" w:firstLineChars="0"/>
        <w:rPr>
          <w:rFonts w:asciiTheme="minorEastAsia" w:hAnsiTheme="minorEastAsia" w:eastAsiaTheme="minorEastAsia"/>
          <w:color w:val="000000"/>
          <w:sz w:val="24"/>
        </w:rPr>
      </w:pPr>
      <w:r>
        <w:rPr>
          <w:rFonts w:hint="eastAsia" w:asciiTheme="minorEastAsia" w:hAnsiTheme="minorEastAsia" w:eastAsiaTheme="minorEastAsia"/>
          <w:color w:val="000000"/>
          <w:sz w:val="24"/>
        </w:rPr>
        <w:t>项目尾款支付：</w:t>
      </w:r>
    </w:p>
    <w:p>
      <w:pPr>
        <w:pStyle w:val="16"/>
        <w:keepNext w:val="0"/>
        <w:keepLines w:val="0"/>
        <w:pageBreakBefore w:val="0"/>
        <w:widowControl w:val="0"/>
        <w:numPr>
          <w:ilvl w:val="1"/>
          <w:numId w:val="6"/>
        </w:numPr>
        <w:kinsoku/>
        <w:wordWrap/>
        <w:overflowPunct/>
        <w:topLinePunct w:val="0"/>
        <w:bidi w:val="0"/>
        <w:snapToGrid/>
        <w:spacing w:line="360" w:lineRule="auto"/>
        <w:ind w:left="840" w:leftChars="0" w:hanging="420" w:firstLineChars="0"/>
        <w:rPr>
          <w:rFonts w:asciiTheme="minorEastAsia" w:hAnsiTheme="minorEastAsia" w:eastAsiaTheme="minorEastAsia"/>
          <w:sz w:val="24"/>
        </w:rPr>
      </w:pPr>
      <w:r>
        <w:rPr>
          <w:rFonts w:hint="eastAsia" w:asciiTheme="minorEastAsia" w:hAnsiTheme="minorEastAsia" w:eastAsiaTheme="minorEastAsia"/>
          <w:sz w:val="24"/>
        </w:rPr>
        <w:t>项目分中心小结表盖章前，甲方向乙方支付剩余金额（</w:t>
      </w:r>
      <w:r>
        <w:rPr>
          <w:rFonts w:hint="eastAsia" w:asciiTheme="minorEastAsia" w:hAnsiTheme="minorEastAsia" w:eastAsiaTheme="minorEastAsia"/>
          <w:color w:val="0070C0"/>
          <w:sz w:val="24"/>
        </w:rPr>
        <w:t>最终按实际发生结算</w:t>
      </w:r>
      <w:r>
        <w:rPr>
          <w:rFonts w:hint="eastAsia" w:asciiTheme="minorEastAsia" w:hAnsiTheme="minorEastAsia" w:eastAsiaTheme="minorEastAsia"/>
          <w:sz w:val="24"/>
        </w:rPr>
        <w:t>）。</w:t>
      </w:r>
    </w:p>
    <w:p>
      <w:pPr>
        <w:pStyle w:val="16"/>
        <w:keepNext w:val="0"/>
        <w:keepLines w:val="0"/>
        <w:pageBreakBefore w:val="0"/>
        <w:widowControl w:val="0"/>
        <w:numPr>
          <w:ilvl w:val="1"/>
          <w:numId w:val="6"/>
        </w:numPr>
        <w:kinsoku/>
        <w:wordWrap/>
        <w:overflowPunct/>
        <w:topLinePunct w:val="0"/>
        <w:bidi w:val="0"/>
        <w:snapToGrid/>
        <w:spacing w:line="360" w:lineRule="auto"/>
        <w:ind w:left="840" w:leftChars="0" w:hanging="420" w:firstLineChars="0"/>
        <w:rPr>
          <w:rFonts w:asciiTheme="minorEastAsia" w:hAnsiTheme="minorEastAsia" w:eastAsiaTheme="minorEastAsia"/>
          <w:sz w:val="24"/>
        </w:rPr>
      </w:pPr>
      <w:r>
        <w:rPr>
          <w:rFonts w:hint="eastAsia" w:asciiTheme="minorEastAsia" w:hAnsiTheme="minorEastAsia" w:eastAsiaTheme="minorEastAsia"/>
          <w:sz w:val="24"/>
        </w:rPr>
        <w:t>脱落病例按实际完成的访视次数支付观察费及实际发生的检查费；筛选失败病例支付筛选期实际产生的观察费和检查费，剔除病例支付实际发生的检查费。</w:t>
      </w:r>
    </w:p>
    <w:p>
      <w:pPr>
        <w:pStyle w:val="16"/>
        <w:keepNext w:val="0"/>
        <w:keepLines w:val="0"/>
        <w:pageBreakBefore w:val="0"/>
        <w:widowControl w:val="0"/>
        <w:numPr>
          <w:ilvl w:val="0"/>
          <w:numId w:val="6"/>
        </w:numPr>
        <w:kinsoku/>
        <w:wordWrap/>
        <w:overflowPunct/>
        <w:topLinePunct w:val="0"/>
        <w:bidi w:val="0"/>
        <w:snapToGrid/>
        <w:spacing w:line="360" w:lineRule="auto"/>
        <w:ind w:left="425" w:leftChars="0" w:hanging="425" w:firstLineChars="0"/>
        <w:rPr>
          <w:rFonts w:asciiTheme="minorEastAsia" w:hAnsiTheme="minorEastAsia" w:eastAsiaTheme="minorEastAsia"/>
          <w:color w:val="FF0000"/>
          <w:sz w:val="24"/>
        </w:rPr>
      </w:pPr>
      <w:r>
        <w:rPr>
          <w:rFonts w:hint="eastAsia" w:asciiTheme="minorEastAsia" w:hAnsiTheme="minorEastAsia" w:eastAsiaTheme="minorEastAsia"/>
          <w:color w:val="000000" w:themeColor="text1"/>
          <w:sz w:val="24"/>
          <w14:textFill>
            <w14:solidFill>
              <w14:schemeClr w14:val="tx1"/>
            </w14:solidFill>
          </w14:textFill>
        </w:rPr>
        <w:t>本研究是竞争入组，最终以实际完成病例数结算。</w:t>
      </w:r>
      <w:r>
        <w:rPr>
          <w:rFonts w:hint="eastAsia" w:asciiTheme="minorEastAsia" w:hAnsiTheme="minorEastAsia" w:eastAsiaTheme="minorEastAsia"/>
          <w:color w:val="FF0000"/>
          <w:sz w:val="24"/>
        </w:rPr>
        <w:t>（如果不是竞争入组请删除此条款）</w:t>
      </w:r>
    </w:p>
    <w:p>
      <w:pPr>
        <w:pStyle w:val="16"/>
        <w:keepNext w:val="0"/>
        <w:keepLines w:val="0"/>
        <w:pageBreakBefore w:val="0"/>
        <w:widowControl w:val="0"/>
        <w:numPr>
          <w:ilvl w:val="0"/>
          <w:numId w:val="6"/>
        </w:numPr>
        <w:kinsoku/>
        <w:wordWrap/>
        <w:overflowPunct/>
        <w:topLinePunct w:val="0"/>
        <w:bidi w:val="0"/>
        <w:snapToGrid/>
        <w:spacing w:line="360" w:lineRule="auto"/>
        <w:ind w:left="425" w:leftChars="0" w:hanging="425" w:firstLineChars="0"/>
        <w:rPr>
          <w:rFonts w:ascii="宋体" w:hAnsi="宋体" w:eastAsia="宋体"/>
          <w:sz w:val="24"/>
          <w:szCs w:val="24"/>
        </w:rPr>
      </w:pPr>
      <w:r>
        <w:rPr>
          <w:rFonts w:hint="eastAsia" w:ascii="宋体" w:hAnsi="宋体" w:eastAsia="宋体"/>
          <w:sz w:val="24"/>
          <w:szCs w:val="24"/>
        </w:rPr>
        <w:t>本协议项下所有甲方对乙方的付款，均应转账至如下研究机构的银行账户：</w:t>
      </w:r>
    </w:p>
    <w:p>
      <w:pPr>
        <w:keepNext w:val="0"/>
        <w:keepLines w:val="0"/>
        <w:pageBreakBefore w:val="0"/>
        <w:widowControl w:val="0"/>
        <w:numPr>
          <w:ilvl w:val="1"/>
          <w:numId w:val="0"/>
        </w:numPr>
        <w:kinsoku/>
        <w:wordWrap/>
        <w:overflowPunct/>
        <w:topLinePunct w:val="0"/>
        <w:bidi w:val="0"/>
        <w:snapToGrid/>
        <w:spacing w:line="360" w:lineRule="auto"/>
        <w:ind w:leftChars="100"/>
        <w:rPr>
          <w:rFonts w:ascii="宋体" w:hAnsi="宋体" w:eastAsia="宋体"/>
          <w:sz w:val="24"/>
          <w:szCs w:val="24"/>
        </w:rPr>
      </w:pPr>
      <w:r>
        <w:rPr>
          <w:rFonts w:hint="eastAsia" w:ascii="宋体" w:hAnsi="宋体" w:eastAsia="宋体"/>
          <w:sz w:val="24"/>
          <w:szCs w:val="24"/>
        </w:rPr>
        <w:t>户  名：深圳市第三人民医院</w:t>
      </w:r>
    </w:p>
    <w:p>
      <w:pPr>
        <w:keepNext w:val="0"/>
        <w:keepLines w:val="0"/>
        <w:pageBreakBefore w:val="0"/>
        <w:widowControl w:val="0"/>
        <w:numPr>
          <w:ilvl w:val="1"/>
          <w:numId w:val="0"/>
        </w:numPr>
        <w:kinsoku/>
        <w:wordWrap/>
        <w:overflowPunct/>
        <w:topLinePunct w:val="0"/>
        <w:bidi w:val="0"/>
        <w:snapToGrid/>
        <w:spacing w:line="360" w:lineRule="auto"/>
        <w:ind w:leftChars="100"/>
        <w:rPr>
          <w:rFonts w:ascii="宋体" w:hAnsi="宋体" w:eastAsia="宋体"/>
          <w:sz w:val="24"/>
          <w:szCs w:val="24"/>
        </w:rPr>
      </w:pPr>
      <w:r>
        <w:rPr>
          <w:rFonts w:hint="eastAsia" w:ascii="宋体" w:hAnsi="宋体" w:eastAsia="宋体"/>
          <w:sz w:val="24"/>
          <w:szCs w:val="24"/>
        </w:rPr>
        <w:t xml:space="preserve">账  号: </w:t>
      </w:r>
      <w:r>
        <w:rPr>
          <w:rFonts w:ascii="宋体" w:hAnsi="宋体" w:eastAsia="宋体"/>
          <w:sz w:val="24"/>
          <w:szCs w:val="24"/>
        </w:rPr>
        <w:t>4000031919200187023</w:t>
      </w:r>
    </w:p>
    <w:p>
      <w:pPr>
        <w:keepNext w:val="0"/>
        <w:keepLines w:val="0"/>
        <w:pageBreakBefore w:val="0"/>
        <w:widowControl w:val="0"/>
        <w:numPr>
          <w:ilvl w:val="1"/>
          <w:numId w:val="0"/>
        </w:numPr>
        <w:kinsoku/>
        <w:wordWrap/>
        <w:overflowPunct/>
        <w:topLinePunct w:val="0"/>
        <w:bidi w:val="0"/>
        <w:snapToGrid/>
        <w:spacing w:line="360" w:lineRule="auto"/>
        <w:ind w:leftChars="100"/>
        <w:rPr>
          <w:rFonts w:ascii="宋体" w:hAnsi="宋体" w:eastAsia="宋体"/>
          <w:sz w:val="24"/>
          <w:szCs w:val="24"/>
        </w:rPr>
      </w:pPr>
      <w:r>
        <w:rPr>
          <w:rFonts w:hint="eastAsia" w:ascii="宋体" w:hAnsi="宋体" w:eastAsia="宋体"/>
          <w:sz w:val="24"/>
          <w:szCs w:val="24"/>
        </w:rPr>
        <w:t>开户行：中国工商银行深圳市分行李朗支行</w:t>
      </w:r>
    </w:p>
    <w:p>
      <w:pPr>
        <w:keepNext w:val="0"/>
        <w:keepLines w:val="0"/>
        <w:pageBreakBefore w:val="0"/>
        <w:widowControl w:val="0"/>
        <w:numPr>
          <w:ilvl w:val="1"/>
          <w:numId w:val="0"/>
        </w:numPr>
        <w:kinsoku/>
        <w:wordWrap/>
        <w:overflowPunct/>
        <w:topLinePunct w:val="0"/>
        <w:bidi w:val="0"/>
        <w:snapToGrid/>
        <w:spacing w:line="360" w:lineRule="auto"/>
        <w:ind w:leftChars="100"/>
        <w:rPr>
          <w:rFonts w:ascii="宋体" w:hAnsi="宋体" w:eastAsia="宋体"/>
          <w:sz w:val="24"/>
          <w:szCs w:val="24"/>
        </w:rPr>
      </w:pPr>
      <w:r>
        <w:rPr>
          <w:rFonts w:hint="eastAsia" w:ascii="宋体" w:hAnsi="宋体" w:eastAsia="宋体"/>
          <w:sz w:val="24"/>
          <w:szCs w:val="24"/>
        </w:rPr>
        <w:t>乙方收到费用后，及时</w:t>
      </w:r>
      <w:r>
        <w:rPr>
          <w:rFonts w:ascii="宋体" w:hAnsi="宋体" w:eastAsia="宋体"/>
          <w:sz w:val="24"/>
          <w:szCs w:val="24"/>
        </w:rPr>
        <w:t>向甲方出具</w:t>
      </w:r>
      <w:r>
        <w:rPr>
          <w:rFonts w:hint="eastAsia" w:ascii="宋体" w:hAnsi="宋体" w:eastAsia="宋体"/>
          <w:sz w:val="24"/>
          <w:szCs w:val="24"/>
        </w:rPr>
        <w:t>同</w:t>
      </w:r>
      <w:r>
        <w:rPr>
          <w:rFonts w:ascii="宋体" w:hAnsi="宋体" w:eastAsia="宋体"/>
          <w:sz w:val="24"/>
          <w:szCs w:val="24"/>
        </w:rPr>
        <w:t>等额</w:t>
      </w:r>
      <w:r>
        <w:rPr>
          <w:rFonts w:hint="eastAsia" w:ascii="宋体" w:hAnsi="宋体" w:eastAsia="宋体"/>
          <w:sz w:val="24"/>
          <w:szCs w:val="24"/>
        </w:rPr>
        <w:t>增值税普通发票。</w:t>
      </w:r>
    </w:p>
    <w:p>
      <w:pPr>
        <w:pStyle w:val="16"/>
        <w:keepNext w:val="0"/>
        <w:keepLines w:val="0"/>
        <w:pageBreakBefore w:val="0"/>
        <w:widowControl w:val="0"/>
        <w:numPr>
          <w:ilvl w:val="0"/>
          <w:numId w:val="6"/>
        </w:numPr>
        <w:kinsoku/>
        <w:wordWrap/>
        <w:overflowPunct/>
        <w:topLinePunct w:val="0"/>
        <w:bidi w:val="0"/>
        <w:snapToGrid/>
        <w:spacing w:line="360" w:lineRule="auto"/>
        <w:ind w:left="425" w:leftChars="0" w:hanging="425" w:firstLineChars="0"/>
        <w:rPr>
          <w:rFonts w:ascii="宋体" w:hAnsi="宋体" w:eastAsia="宋体"/>
          <w:sz w:val="24"/>
          <w:szCs w:val="24"/>
        </w:rPr>
      </w:pPr>
      <w:r>
        <w:rPr>
          <w:rFonts w:hint="eastAsia" w:ascii="宋体" w:hAnsi="宋体" w:eastAsia="宋体"/>
          <w:sz w:val="24"/>
          <w:szCs w:val="24"/>
        </w:rPr>
        <w:t>该试验总设计例数为  例，甲方计划委托乙方完成  例受试者入组观察，如本中心实际入组数超过拟定的目标数，超出部分仍按本</w:t>
      </w:r>
      <w:r>
        <w:rPr>
          <w:rFonts w:hint="eastAsia" w:ascii="宋体" w:hAnsi="宋体" w:eastAsia="宋体"/>
          <w:sz w:val="24"/>
          <w:szCs w:val="24"/>
          <w:lang w:eastAsia="zh-CN"/>
        </w:rPr>
        <w:t>协议</w:t>
      </w:r>
      <w:r>
        <w:rPr>
          <w:rFonts w:hint="eastAsia" w:ascii="宋体" w:hAnsi="宋体" w:eastAsia="宋体"/>
          <w:sz w:val="24"/>
          <w:szCs w:val="24"/>
        </w:rPr>
        <w:t>约定的费用标准计算费用，无需另签补充协议（</w:t>
      </w:r>
      <w:r>
        <w:rPr>
          <w:rFonts w:hint="eastAsia" w:ascii="宋体" w:hAnsi="宋体" w:eastAsia="宋体"/>
          <w:color w:val="0070C0"/>
          <w:sz w:val="24"/>
          <w:szCs w:val="24"/>
        </w:rPr>
        <w:t>OR另签补充协议</w:t>
      </w:r>
      <w:r>
        <w:rPr>
          <w:rFonts w:hint="eastAsia" w:ascii="宋体" w:hAnsi="宋体" w:eastAsia="宋体"/>
          <w:sz w:val="24"/>
          <w:szCs w:val="24"/>
        </w:rPr>
        <w:t>）。若临床试验期间，因方案修改导致研究经费发生变动，由双方重新协商解决。</w:t>
      </w:r>
    </w:p>
    <w:p>
      <w:pPr>
        <w:keepNext w:val="0"/>
        <w:keepLines w:val="0"/>
        <w:pageBreakBefore w:val="0"/>
        <w:widowControl w:val="0"/>
        <w:kinsoku/>
        <w:wordWrap/>
        <w:overflowPunct/>
        <w:topLinePunct w:val="0"/>
        <w:bidi w:val="0"/>
        <w:snapToGrid/>
        <w:spacing w:before="156" w:beforeLines="50" w:line="360" w:lineRule="auto"/>
        <w:ind w:left="0" w:leftChars="0"/>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四、技术内容的验收标准及方式</w:t>
      </w:r>
    </w:p>
    <w:p>
      <w:pPr>
        <w:pStyle w:val="16"/>
        <w:keepNext w:val="0"/>
        <w:keepLines w:val="0"/>
        <w:pageBreakBefore w:val="0"/>
        <w:widowControl w:val="0"/>
        <w:numPr>
          <w:ilvl w:val="0"/>
          <w:numId w:val="7"/>
        </w:numPr>
        <w:kinsoku/>
        <w:wordWrap/>
        <w:overflowPunct/>
        <w:topLinePunct w:val="0"/>
        <w:bidi w:val="0"/>
        <w:snapToGrid/>
        <w:spacing w:line="360" w:lineRule="auto"/>
        <w:ind w:left="420" w:leftChars="0" w:firstLineChars="0"/>
        <w:rPr>
          <w:rFonts w:ascii="宋体" w:hAnsi="宋体" w:eastAsia="宋体"/>
          <w:sz w:val="24"/>
          <w:szCs w:val="24"/>
        </w:rPr>
      </w:pPr>
      <w:r>
        <w:rPr>
          <w:rFonts w:hint="eastAsia" w:ascii="宋体" w:hAnsi="宋体" w:eastAsia="宋体"/>
          <w:sz w:val="24"/>
          <w:szCs w:val="24"/>
        </w:rPr>
        <w:t>在试验结束时，甲方按</w:t>
      </w:r>
      <w:r>
        <w:rPr>
          <w:rFonts w:eastAsiaTheme="minorEastAsia"/>
          <w:sz w:val="24"/>
          <w:szCs w:val="24"/>
        </w:rPr>
        <w:t>NMPA</w:t>
      </w:r>
      <w:r>
        <w:rPr>
          <w:rFonts w:hint="eastAsia" w:ascii="宋体" w:hAnsi="宋体" w:eastAsia="宋体"/>
          <w:sz w:val="24"/>
          <w:szCs w:val="24"/>
        </w:rPr>
        <w:t>颁布的药物临床研究相关法规中对新药临床试验的要求，以及临床研究方案的规定，对乙方提供的临床研究病例报告表、临床研究小结表等进行验收，研究经费全部到账后，方可到临床试验机构办理有关资料盖章。</w:t>
      </w:r>
    </w:p>
    <w:p>
      <w:pPr>
        <w:pStyle w:val="16"/>
        <w:keepNext w:val="0"/>
        <w:keepLines w:val="0"/>
        <w:pageBreakBefore w:val="0"/>
        <w:widowControl w:val="0"/>
        <w:numPr>
          <w:ilvl w:val="0"/>
          <w:numId w:val="7"/>
        </w:numPr>
        <w:kinsoku/>
        <w:wordWrap/>
        <w:overflowPunct/>
        <w:topLinePunct w:val="0"/>
        <w:bidi w:val="0"/>
        <w:snapToGrid/>
        <w:spacing w:line="360" w:lineRule="auto"/>
        <w:ind w:left="420" w:leftChars="0" w:firstLineChars="0"/>
        <w:rPr>
          <w:rFonts w:ascii="宋体" w:hAnsi="宋体" w:eastAsia="宋体"/>
          <w:sz w:val="24"/>
          <w:szCs w:val="24"/>
        </w:rPr>
      </w:pPr>
      <w:r>
        <w:rPr>
          <w:rFonts w:hint="eastAsia" w:ascii="宋体" w:hAnsi="宋体" w:eastAsia="宋体"/>
          <w:sz w:val="24"/>
          <w:szCs w:val="24"/>
        </w:rPr>
        <w:t>若临床试验内容不符合方案和合同的要求，乙方应配合甲方进行补充、完善。</w:t>
      </w:r>
    </w:p>
    <w:p>
      <w:pPr>
        <w:keepNext w:val="0"/>
        <w:keepLines w:val="0"/>
        <w:pageBreakBefore w:val="0"/>
        <w:widowControl w:val="0"/>
        <w:kinsoku/>
        <w:wordWrap/>
        <w:overflowPunct/>
        <w:topLinePunct w:val="0"/>
        <w:bidi w:val="0"/>
        <w:snapToGrid/>
        <w:spacing w:before="156" w:beforeLines="50" w:line="360" w:lineRule="auto"/>
        <w:ind w:left="0" w:leftChars="0"/>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五、知识产权、成果归属与分享</w:t>
      </w:r>
    </w:p>
    <w:p>
      <w:pPr>
        <w:pStyle w:val="16"/>
        <w:keepNext w:val="0"/>
        <w:keepLines w:val="0"/>
        <w:pageBreakBefore w:val="0"/>
        <w:widowControl w:val="0"/>
        <w:numPr>
          <w:ilvl w:val="0"/>
          <w:numId w:val="8"/>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甲方保证其提供给乙方的相关资料、文件，均无知识产权纠纷；如发生知识产权纠纷，由甲方承担全部责任。</w:t>
      </w:r>
    </w:p>
    <w:p>
      <w:pPr>
        <w:pStyle w:val="16"/>
        <w:keepNext w:val="0"/>
        <w:keepLines w:val="0"/>
        <w:pageBreakBefore w:val="0"/>
        <w:widowControl w:val="0"/>
        <w:numPr>
          <w:ilvl w:val="0"/>
          <w:numId w:val="8"/>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乙方在本临床研究期间获得的</w:t>
      </w:r>
      <w:r>
        <w:rPr>
          <w:rFonts w:eastAsiaTheme="minorEastAsia"/>
          <w:sz w:val="24"/>
          <w:szCs w:val="24"/>
        </w:rPr>
        <w:t>研究成果归甲方所有</w:t>
      </w:r>
      <w:r>
        <w:rPr>
          <w:rFonts w:hint="eastAsia" w:eastAsiaTheme="minorEastAsia"/>
          <w:sz w:val="24"/>
          <w:szCs w:val="24"/>
        </w:rPr>
        <w:t>。</w:t>
      </w:r>
      <w:r>
        <w:rPr>
          <w:rFonts w:eastAsiaTheme="minorEastAsia"/>
          <w:sz w:val="24"/>
          <w:szCs w:val="24"/>
        </w:rPr>
        <w:t xml:space="preserve"> </w:t>
      </w:r>
    </w:p>
    <w:p>
      <w:pPr>
        <w:pStyle w:val="16"/>
        <w:keepNext w:val="0"/>
        <w:keepLines w:val="0"/>
        <w:pageBreakBefore w:val="0"/>
        <w:widowControl w:val="0"/>
        <w:numPr>
          <w:ilvl w:val="0"/>
          <w:numId w:val="8"/>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甲方在申报本临床试验研究成果时，若引用临床研究资料，乙方应作为协作单位。甲方在获得</w:t>
      </w:r>
      <w:r>
        <w:rPr>
          <w:rFonts w:eastAsiaTheme="minorEastAsia"/>
          <w:sz w:val="24"/>
          <w:szCs w:val="24"/>
        </w:rPr>
        <w:t>NMPA</w:t>
      </w:r>
      <w:r>
        <w:rPr>
          <w:rFonts w:hint="eastAsia" w:eastAsiaTheme="minorEastAsia"/>
          <w:sz w:val="24"/>
          <w:szCs w:val="24"/>
        </w:rPr>
        <w:t>的新药生产批件后，应向乙方提供复印件。</w:t>
      </w:r>
    </w:p>
    <w:p>
      <w:pPr>
        <w:pStyle w:val="16"/>
        <w:keepNext w:val="0"/>
        <w:keepLines w:val="0"/>
        <w:pageBreakBefore w:val="0"/>
        <w:widowControl w:val="0"/>
        <w:numPr>
          <w:ilvl w:val="0"/>
          <w:numId w:val="8"/>
        </w:numPr>
        <w:kinsoku/>
        <w:wordWrap/>
        <w:overflowPunct/>
        <w:topLinePunct w:val="0"/>
        <w:bidi w:val="0"/>
        <w:snapToGrid/>
        <w:spacing w:line="360" w:lineRule="auto"/>
        <w:ind w:left="425" w:leftChars="0" w:hanging="425" w:firstLineChars="0"/>
        <w:rPr>
          <w:rFonts w:eastAsiaTheme="minorEastAsia"/>
          <w:sz w:val="24"/>
          <w:szCs w:val="24"/>
        </w:rPr>
      </w:pPr>
      <w:r>
        <w:rPr>
          <w:rFonts w:hint="eastAsia" w:eastAsiaTheme="minorEastAsia"/>
          <w:sz w:val="24"/>
          <w:szCs w:val="24"/>
        </w:rPr>
        <w:t>乙方在学术会议或刊物上交流临床研究结果时应征得甲方的事先书面同意。</w:t>
      </w:r>
    </w:p>
    <w:p>
      <w:pPr>
        <w:keepNext w:val="0"/>
        <w:keepLines w:val="0"/>
        <w:pageBreakBefore w:val="0"/>
        <w:widowControl w:val="0"/>
        <w:kinsoku/>
        <w:wordWrap/>
        <w:overflowPunct/>
        <w:topLinePunct w:val="0"/>
        <w:bidi w:val="0"/>
        <w:snapToGrid/>
        <w:spacing w:before="156" w:beforeLines="50" w:line="360" w:lineRule="auto"/>
        <w:ind w:left="0" w:leftChars="0"/>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六、研究资料保存</w:t>
      </w:r>
    </w:p>
    <w:p>
      <w:pPr>
        <w:keepNext w:val="0"/>
        <w:keepLines w:val="0"/>
        <w:pageBreakBefore w:val="0"/>
        <w:widowControl w:val="0"/>
        <w:kinsoku/>
        <w:wordWrap/>
        <w:overflowPunct/>
        <w:topLinePunct w:val="0"/>
        <w:bidi w:val="0"/>
        <w:snapToGrid/>
        <w:spacing w:line="360" w:lineRule="auto"/>
        <w:ind w:left="0" w:leftChars="0"/>
        <w:rPr>
          <w:rFonts w:eastAsiaTheme="minorEastAsia"/>
          <w:sz w:val="24"/>
          <w:szCs w:val="24"/>
        </w:rPr>
      </w:pPr>
      <w:r>
        <w:rPr>
          <w:rFonts w:hint="eastAsia" w:eastAsiaTheme="minorEastAsia"/>
          <w:sz w:val="24"/>
          <w:szCs w:val="24"/>
        </w:rPr>
        <w:t xml:space="preserve">    </w:t>
      </w:r>
      <w:r>
        <w:rPr>
          <w:rFonts w:eastAsiaTheme="minorEastAsia"/>
          <w:sz w:val="24"/>
          <w:szCs w:val="24"/>
        </w:rPr>
        <w:t>乙方应按GCP的要求妥善保管临床试验资料，</w:t>
      </w:r>
      <w:r>
        <w:rPr>
          <w:rFonts w:hint="eastAsia" w:eastAsiaTheme="minorEastAsia"/>
          <w:sz w:val="24"/>
          <w:szCs w:val="24"/>
        </w:rPr>
        <w:t>乙方免费保存临床试验资料至临床试验在本中心结束或终止后</w:t>
      </w:r>
      <w:r>
        <w:rPr>
          <w:rFonts w:eastAsiaTheme="minorEastAsia"/>
          <w:sz w:val="24"/>
          <w:szCs w:val="24"/>
        </w:rPr>
        <w:t>5</w:t>
      </w:r>
      <w:r>
        <w:rPr>
          <w:rFonts w:hint="eastAsia" w:eastAsiaTheme="minorEastAsia"/>
          <w:sz w:val="24"/>
          <w:szCs w:val="24"/>
        </w:rPr>
        <w:t>年。甲方应在5年保管期结束前至少提前6个月</w:t>
      </w:r>
      <w:r>
        <w:rPr>
          <w:rFonts w:eastAsiaTheme="minorEastAsia"/>
          <w:sz w:val="24"/>
          <w:szCs w:val="24"/>
        </w:rPr>
        <w:t>向</w:t>
      </w:r>
      <w:r>
        <w:rPr>
          <w:rFonts w:hint="eastAsia" w:eastAsiaTheme="minorEastAsia"/>
          <w:sz w:val="24"/>
          <w:szCs w:val="24"/>
        </w:rPr>
        <w:t>乙方</w:t>
      </w:r>
      <w:r>
        <w:rPr>
          <w:rFonts w:eastAsiaTheme="minorEastAsia"/>
          <w:sz w:val="24"/>
          <w:szCs w:val="24"/>
        </w:rPr>
        <w:t>提交书面申请</w:t>
      </w:r>
      <w:r>
        <w:rPr>
          <w:rFonts w:hint="eastAsia" w:eastAsiaTheme="minorEastAsia"/>
          <w:sz w:val="24"/>
          <w:szCs w:val="24"/>
        </w:rPr>
        <w:t>，确定资料继续保存地点，或支付资料保管费(相关的存档设备及运输费用)。如甲方未及时告知乙方，则在5年到期3个月后，乙方有权将文件自行销毁或处理。乙方不再另行通知甲方，如产生任何资料纠纷由甲方承担相应责任。</w:t>
      </w:r>
    </w:p>
    <w:p>
      <w:pPr>
        <w:keepNext w:val="0"/>
        <w:keepLines w:val="0"/>
        <w:pageBreakBefore w:val="0"/>
        <w:widowControl w:val="0"/>
        <w:kinsoku/>
        <w:wordWrap/>
        <w:overflowPunct/>
        <w:topLinePunct w:val="0"/>
        <w:bidi w:val="0"/>
        <w:snapToGrid/>
        <w:spacing w:before="156" w:beforeLines="50" w:line="360" w:lineRule="auto"/>
        <w:ind w:left="0" w:leftChars="0"/>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七、保密责任</w:t>
      </w:r>
    </w:p>
    <w:p>
      <w:pPr>
        <w:pStyle w:val="15"/>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420" w:leftChars="0" w:firstLineChars="0"/>
        <w:jc w:val="left"/>
        <w:rPr>
          <w:rFonts w:hAnsi="宋体"/>
          <w:sz w:val="24"/>
        </w:rPr>
      </w:pPr>
      <w:r>
        <w:rPr>
          <w:rFonts w:hint="eastAsia" w:hAnsi="宋体"/>
          <w:sz w:val="24"/>
        </w:rPr>
        <w:t>在临床研究的过程中，甲、乙、丙三方及研究人员对接触到的对方的保密信息和在本协议履行过程中产生的试验结果应当予以保密，只能允许参与临床研究的相关人员为本合同之目的使用；未经数据或信息所有方允许不得直接或间接以任何方式提供或披露给任何无关的第三方，但披露之前已经公开的数据或信息，或披露方可以证明其数据或信息在本协议执行之前就被掌握的除外。</w:t>
      </w:r>
    </w:p>
    <w:p>
      <w:pPr>
        <w:pStyle w:val="15"/>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420" w:leftChars="0" w:hanging="420" w:firstLineChars="0"/>
        <w:jc w:val="left"/>
        <w:textAlignment w:val="auto"/>
        <w:rPr>
          <w:rFonts w:ascii="Times New Roman" w:hAnsi="Times New Roman" w:eastAsiaTheme="minorEastAsia"/>
          <w:kern w:val="0"/>
          <w:sz w:val="24"/>
          <w:szCs w:val="24"/>
        </w:rPr>
      </w:pPr>
      <w:r>
        <w:rPr>
          <w:rFonts w:hint="eastAsia" w:ascii="Times New Roman" w:hAnsi="Times New Roman" w:eastAsiaTheme="minorEastAsia"/>
          <w:kern w:val="0"/>
          <w:sz w:val="24"/>
          <w:szCs w:val="24"/>
        </w:rPr>
        <w:t>各方应对在临床试验过程中接触到的受试者信息进行保密。</w:t>
      </w:r>
    </w:p>
    <w:p>
      <w:pPr>
        <w:pStyle w:val="15"/>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420" w:leftChars="0" w:hanging="420" w:firstLineChars="0"/>
        <w:jc w:val="left"/>
        <w:textAlignment w:val="auto"/>
        <w:rPr>
          <w:rFonts w:hAnsi="宋体"/>
          <w:sz w:val="24"/>
        </w:rPr>
      </w:pPr>
      <w:r>
        <w:rPr>
          <w:rFonts w:hint="eastAsia" w:ascii="Times New Roman" w:hAnsi="Times New Roman" w:eastAsiaTheme="minorEastAsia"/>
          <w:kern w:val="0"/>
          <w:sz w:val="24"/>
          <w:szCs w:val="24"/>
        </w:rPr>
        <w:t>本协议不限制为遵守合法颁布的政府命令或法律要求而必须对保密信息进行的披露，但披</w:t>
      </w:r>
      <w:r>
        <w:rPr>
          <w:rFonts w:hint="eastAsia" w:hAnsi="宋体"/>
          <w:sz w:val="24"/>
        </w:rPr>
        <w:t>露信息方应及时通知信息所有方以使其能对该命令提出异议的保护。披露信息方应与信息所有方对信息的披露达成协商，尽量以令各方一致满意的方式披露该信息。</w:t>
      </w:r>
    </w:p>
    <w:p>
      <w:pPr>
        <w:pStyle w:val="15"/>
        <w:keepNext w:val="0"/>
        <w:keepLines w:val="0"/>
        <w:pageBreakBefore w:val="0"/>
        <w:widowControl w:val="0"/>
        <w:numPr>
          <w:ilvl w:val="0"/>
          <w:numId w:val="9"/>
        </w:numPr>
        <w:kinsoku/>
        <w:wordWrap/>
        <w:overflowPunct/>
        <w:topLinePunct w:val="0"/>
        <w:autoSpaceDE w:val="0"/>
        <w:autoSpaceDN w:val="0"/>
        <w:bidi w:val="0"/>
        <w:adjustRightInd w:val="0"/>
        <w:snapToGrid/>
        <w:spacing w:line="360" w:lineRule="auto"/>
        <w:ind w:left="420" w:leftChars="0" w:hanging="420" w:firstLineChars="0"/>
        <w:jc w:val="left"/>
        <w:textAlignment w:val="auto"/>
        <w:outlineLvl w:val="0"/>
        <w:rPr>
          <w:rFonts w:cs="Arial" w:asciiTheme="minorEastAsia" w:hAnsiTheme="minorEastAsia" w:eastAsiaTheme="minorEastAsia"/>
          <w:b/>
          <w:color w:val="000000"/>
          <w:sz w:val="24"/>
          <w:szCs w:val="24"/>
        </w:rPr>
      </w:pPr>
      <w:r>
        <w:rPr>
          <w:rFonts w:hint="eastAsia" w:hAnsi="宋体"/>
          <w:sz w:val="24"/>
        </w:rPr>
        <w:t>如一方违反了本保密条款，须赔偿另两方由此遭受的一切相关损失（包括但不限于律师费、诉讼费、保全费、执行费、罚金、赔偿金等）。</w:t>
      </w:r>
    </w:p>
    <w:p>
      <w:pPr>
        <w:pStyle w:val="15"/>
        <w:keepNext w:val="0"/>
        <w:keepLines w:val="0"/>
        <w:pageBreakBefore w:val="0"/>
        <w:widowControl w:val="0"/>
        <w:kinsoku/>
        <w:wordWrap/>
        <w:overflowPunct/>
        <w:topLinePunct w:val="0"/>
        <w:autoSpaceDE w:val="0"/>
        <w:autoSpaceDN w:val="0"/>
        <w:bidi w:val="0"/>
        <w:adjustRightInd w:val="0"/>
        <w:snapToGrid/>
        <w:spacing w:before="156" w:beforeLines="50" w:line="360" w:lineRule="auto"/>
        <w:ind w:left="0" w:leftChars="0" w:firstLine="0" w:firstLineChars="0"/>
        <w:jc w:val="left"/>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八、受试者权益保护和赔偿</w:t>
      </w:r>
    </w:p>
    <w:p>
      <w:pPr>
        <w:pStyle w:val="15"/>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420" w:leftChars="0"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甲方负责为乙方及乙方研究者提供法律上与经济上的保障。发生与试验相关的损害（包括受试者损害、乙方和乙方研究者的损害）后果时，甲方负责承担全部责任，包括医疗费用、经济补偿或者赔偿等。如进入诉讼程序，则由甲方承担案件的律师费、诉讼费等与诉讼相关的费用。</w:t>
      </w:r>
    </w:p>
    <w:p>
      <w:pPr>
        <w:pStyle w:val="15"/>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420" w:leftChars="0"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对试验所发生的需要及时处理（包括但不限于治疗、赔偿等）的不良事件，甲方应与研究者迅速采取措施进行处置，包括但不限于：</w:t>
      </w:r>
    </w:p>
    <w:p>
      <w:pPr>
        <w:pStyle w:val="16"/>
        <w:keepNext w:val="0"/>
        <w:keepLines w:val="0"/>
        <w:pageBreakBefore w:val="0"/>
        <w:widowControl w:val="0"/>
        <w:numPr>
          <w:ilvl w:val="0"/>
          <w:numId w:val="11"/>
        </w:numPr>
        <w:kinsoku/>
        <w:wordWrap/>
        <w:overflowPunct/>
        <w:topLinePunct w:val="0"/>
        <w:bidi w:val="0"/>
        <w:snapToGrid/>
        <w:spacing w:line="360" w:lineRule="auto"/>
        <w:ind w:left="425" w:leftChars="0" w:hanging="425" w:firstLineChars="0"/>
        <w:rPr>
          <w:rFonts w:ascii="宋体" w:hAnsi="宋体" w:eastAsia="宋体"/>
          <w:sz w:val="24"/>
          <w:szCs w:val="24"/>
        </w:rPr>
      </w:pPr>
      <w:r>
        <w:rPr>
          <w:rFonts w:hint="eastAsia" w:ascii="宋体" w:hAnsi="宋体" w:eastAsia="宋体"/>
          <w:sz w:val="24"/>
          <w:szCs w:val="24"/>
        </w:rPr>
        <w:t>在研究者判定受试者损害后果与临床试验相关后，由甲方及时垫付受试者相关的治疗费用，以保证受试者的安全和权益。</w:t>
      </w:r>
    </w:p>
    <w:p>
      <w:pPr>
        <w:pStyle w:val="16"/>
        <w:keepNext w:val="0"/>
        <w:keepLines w:val="0"/>
        <w:pageBreakBefore w:val="0"/>
        <w:widowControl w:val="0"/>
        <w:numPr>
          <w:ilvl w:val="0"/>
          <w:numId w:val="11"/>
        </w:numPr>
        <w:kinsoku/>
        <w:wordWrap/>
        <w:overflowPunct/>
        <w:topLinePunct w:val="0"/>
        <w:bidi w:val="0"/>
        <w:snapToGrid/>
        <w:spacing w:line="360" w:lineRule="auto"/>
        <w:ind w:left="425" w:leftChars="0" w:hanging="425" w:firstLineChars="0"/>
        <w:rPr>
          <w:rFonts w:ascii="宋体" w:hAnsi="宋体" w:eastAsia="宋体"/>
          <w:sz w:val="24"/>
          <w:szCs w:val="24"/>
        </w:rPr>
      </w:pPr>
      <w:r>
        <w:rPr>
          <w:rFonts w:hint="eastAsia" w:ascii="宋体" w:hAnsi="宋体" w:eastAsia="宋体"/>
          <w:sz w:val="24"/>
          <w:szCs w:val="24"/>
        </w:rPr>
        <w:t>如果出现与试验相关的不良事件或严重不良事件，研究者应及时处理并随访到所有不良事件或严重不良事件消失、正常或转归，甲方应及时支付受试者因不良事件或严重不良事件产生的医疗费用，并给予受试者误工费、护理费、营养费、住院期间伙食补助费等法律规定的相关费用。</w:t>
      </w:r>
    </w:p>
    <w:p>
      <w:pPr>
        <w:pStyle w:val="16"/>
        <w:keepNext w:val="0"/>
        <w:keepLines w:val="0"/>
        <w:pageBreakBefore w:val="0"/>
        <w:widowControl w:val="0"/>
        <w:numPr>
          <w:ilvl w:val="0"/>
          <w:numId w:val="11"/>
        </w:numPr>
        <w:kinsoku/>
        <w:wordWrap/>
        <w:overflowPunct/>
        <w:topLinePunct w:val="0"/>
        <w:bidi w:val="0"/>
        <w:snapToGrid/>
        <w:spacing w:line="360" w:lineRule="auto"/>
        <w:ind w:left="425" w:leftChars="0" w:hanging="425" w:firstLineChars="0"/>
        <w:rPr>
          <w:rFonts w:ascii="宋体" w:hAnsi="宋体" w:eastAsia="宋体"/>
          <w:sz w:val="24"/>
          <w:szCs w:val="24"/>
        </w:rPr>
      </w:pPr>
      <w:r>
        <w:rPr>
          <w:rFonts w:asciiTheme="majorEastAsia" w:hAnsiTheme="majorEastAsia" w:eastAsiaTheme="majorEastAsia"/>
          <w:sz w:val="24"/>
        </w:rPr>
        <w:t>对</w:t>
      </w:r>
      <w:r>
        <w:rPr>
          <w:rFonts w:ascii="宋体" w:hAnsi="宋体" w:eastAsia="宋体"/>
          <w:sz w:val="24"/>
          <w:szCs w:val="24"/>
        </w:rPr>
        <w:t>于受试者的索赔和医疗纠纷，</w:t>
      </w:r>
      <w:r>
        <w:rPr>
          <w:rFonts w:hint="eastAsia" w:ascii="宋体" w:hAnsi="宋体" w:eastAsia="宋体"/>
          <w:sz w:val="24"/>
          <w:szCs w:val="24"/>
        </w:rPr>
        <w:t>甲</w:t>
      </w:r>
      <w:r>
        <w:rPr>
          <w:rFonts w:ascii="宋体" w:hAnsi="宋体" w:eastAsia="宋体"/>
          <w:sz w:val="24"/>
          <w:szCs w:val="24"/>
        </w:rPr>
        <w:t>方需在获知后（</w:t>
      </w:r>
      <w:r>
        <w:rPr>
          <w:rFonts w:hint="eastAsia" w:eastAsiaTheme="minorEastAsia"/>
          <w:sz w:val="24"/>
          <w:szCs w:val="24"/>
        </w:rPr>
        <w:t>5</w:t>
      </w:r>
      <w:r>
        <w:rPr>
          <w:rFonts w:ascii="宋体" w:hAnsi="宋体" w:eastAsia="宋体"/>
          <w:sz w:val="24"/>
          <w:szCs w:val="24"/>
        </w:rPr>
        <w:t>）个工作日内给出初步处理意见（或启动保险理赔程序），必要时到现场，全力配合</w:t>
      </w:r>
      <w:r>
        <w:rPr>
          <w:rFonts w:hint="eastAsia" w:ascii="宋体" w:hAnsi="宋体" w:eastAsia="宋体"/>
          <w:sz w:val="24"/>
          <w:szCs w:val="24"/>
        </w:rPr>
        <w:t>乙方</w:t>
      </w:r>
      <w:r>
        <w:rPr>
          <w:rFonts w:ascii="宋体" w:hAnsi="宋体" w:eastAsia="宋体"/>
          <w:sz w:val="24"/>
          <w:szCs w:val="24"/>
        </w:rPr>
        <w:t>处理，使</w:t>
      </w:r>
      <w:r>
        <w:rPr>
          <w:rFonts w:hint="eastAsia" w:ascii="宋体" w:hAnsi="宋体" w:eastAsia="宋体"/>
          <w:sz w:val="24"/>
          <w:szCs w:val="24"/>
        </w:rPr>
        <w:t>乙方</w:t>
      </w:r>
      <w:r>
        <w:rPr>
          <w:rFonts w:ascii="宋体" w:hAnsi="宋体" w:eastAsia="宋体"/>
          <w:sz w:val="24"/>
          <w:szCs w:val="24"/>
        </w:rPr>
        <w:t>和</w:t>
      </w:r>
      <w:r>
        <w:rPr>
          <w:rFonts w:hint="eastAsia" w:ascii="宋体" w:hAnsi="宋体" w:eastAsia="宋体"/>
          <w:sz w:val="24"/>
          <w:szCs w:val="24"/>
        </w:rPr>
        <w:t>乙方</w:t>
      </w:r>
      <w:r>
        <w:rPr>
          <w:rFonts w:ascii="宋体" w:hAnsi="宋体" w:eastAsia="宋体"/>
          <w:sz w:val="24"/>
          <w:szCs w:val="24"/>
        </w:rPr>
        <w:t>所有工作人员免受损失和法律责任追索。</w:t>
      </w:r>
    </w:p>
    <w:p>
      <w:pPr>
        <w:pStyle w:val="15"/>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420" w:leftChars="0"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一旦发生受试者或研究者损害的赔偿纠纷或诉讼，乙方应立即通知甲方，甲方必须立即委托专人（律师或其工作人员）全权处理索赔或赔偿或诉讼事宜，乙方或乙方研究者同意给予甲方相关协助。</w:t>
      </w:r>
    </w:p>
    <w:p>
      <w:pPr>
        <w:pStyle w:val="15"/>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420" w:leftChars="0"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 xml:space="preserve">若因试验药物本身的不良反应和（或）试验药物、试验方案或其他资料设计本身有缺陷而导致受试者、研究者损害时，相关责任应由甲方承担责任。 </w:t>
      </w:r>
    </w:p>
    <w:p>
      <w:pPr>
        <w:pStyle w:val="15"/>
        <w:keepNext w:val="0"/>
        <w:keepLines w:val="0"/>
        <w:pageBreakBefore w:val="0"/>
        <w:widowControl w:val="0"/>
        <w:numPr>
          <w:ilvl w:val="0"/>
          <w:numId w:val="10"/>
        </w:numPr>
        <w:kinsoku/>
        <w:wordWrap/>
        <w:overflowPunct/>
        <w:topLinePunct w:val="0"/>
        <w:autoSpaceDE w:val="0"/>
        <w:autoSpaceDN w:val="0"/>
        <w:bidi w:val="0"/>
        <w:adjustRightInd w:val="0"/>
        <w:snapToGrid/>
        <w:spacing w:line="360" w:lineRule="auto"/>
        <w:ind w:left="420" w:leftChars="0" w:firstLineChars="0"/>
        <w:jc w:val="left"/>
        <w:rPr>
          <w:rFonts w:ascii="宋体" w:hAnsi="宋体"/>
          <w:sz w:val="24"/>
          <w:szCs w:val="24"/>
        </w:rPr>
      </w:pPr>
      <w:r>
        <w:rPr>
          <w:rFonts w:hint="eastAsia" w:ascii="Times New Roman" w:hAnsi="Times New Roman" w:eastAsiaTheme="minorEastAsia"/>
          <w:kern w:val="0"/>
          <w:sz w:val="24"/>
          <w:szCs w:val="24"/>
        </w:rPr>
        <w:t>如果在受试者或研究者受到伤害需要赔偿或诉讼的过程中，司法机关或其他部门认定存在“无过</w:t>
      </w:r>
      <w:r>
        <w:rPr>
          <w:rFonts w:hint="eastAsia" w:ascii="宋体" w:hAnsi="宋体"/>
          <w:sz w:val="24"/>
          <w:szCs w:val="24"/>
        </w:rPr>
        <w:t>错责任”时，该无过错责任的赔偿由甲方承担。</w:t>
      </w:r>
    </w:p>
    <w:p>
      <w:pPr>
        <w:keepNext w:val="0"/>
        <w:keepLines w:val="0"/>
        <w:pageBreakBefore w:val="0"/>
        <w:widowControl w:val="0"/>
        <w:suppressLineNumbers w:val="0"/>
        <w:kinsoku/>
        <w:wordWrap/>
        <w:overflowPunct/>
        <w:topLinePunct w:val="0"/>
        <w:bidi w:val="0"/>
        <w:snapToGrid/>
        <w:spacing w:before="120" w:beforeLines="50" w:beforeAutospacing="0" w:after="0" w:afterAutospacing="0" w:line="360" w:lineRule="auto"/>
        <w:ind w:left="0" w:leftChars="0" w:right="0"/>
        <w:jc w:val="both"/>
        <w:outlineLvl w:val="0"/>
        <w:rPr>
          <w:rFonts w:hint="eastAsia" w:ascii="宋体" w:hAnsi="宋体" w:eastAsia="宋体" w:cs="宋体"/>
          <w:b/>
          <w:bCs w:val="0"/>
          <w:sz w:val="24"/>
          <w:szCs w:val="24"/>
          <w:lang w:val="en-US"/>
        </w:rPr>
      </w:pPr>
      <w:r>
        <w:rPr>
          <w:rFonts w:hint="eastAsia" w:cs="Arial" w:asciiTheme="minorEastAsia" w:hAnsiTheme="minorEastAsia" w:eastAsiaTheme="minorEastAsia"/>
          <w:b/>
          <w:color w:val="000000"/>
          <w:sz w:val="24"/>
          <w:szCs w:val="24"/>
          <w:lang w:eastAsia="zh-CN"/>
        </w:rPr>
        <w:t>九、</w:t>
      </w:r>
      <w:r>
        <w:rPr>
          <w:rFonts w:hint="eastAsia" w:ascii="宋体" w:hAnsi="宋体" w:eastAsia="宋体" w:cs="宋体"/>
          <w:b/>
          <w:bCs w:val="0"/>
          <w:kern w:val="2"/>
          <w:sz w:val="24"/>
          <w:szCs w:val="24"/>
          <w:lang w:val="en-US" w:eastAsia="zh-CN" w:bidi="ar"/>
        </w:rPr>
        <w:t>个人信息及人类遗传资源</w:t>
      </w:r>
    </w:p>
    <w:p>
      <w:pPr>
        <w:pStyle w:val="15"/>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ind w:left="420" w:leftChars="0" w:firstLineChars="0"/>
        <w:jc w:val="left"/>
        <w:rPr>
          <w:rFonts w:hint="eastAsia" w:ascii="Times New Roman" w:hAnsi="Times New Roman" w:eastAsiaTheme="minorEastAsia"/>
          <w:kern w:val="0"/>
          <w:sz w:val="24"/>
          <w:szCs w:val="24"/>
          <w:lang w:val="en-US"/>
        </w:rPr>
      </w:pPr>
      <w:r>
        <w:rPr>
          <w:rFonts w:hint="eastAsia" w:ascii="Times New Roman" w:hAnsi="Times New Roman" w:eastAsiaTheme="minorEastAsia"/>
          <w:kern w:val="0"/>
          <w:sz w:val="24"/>
          <w:szCs w:val="24"/>
          <w:lang w:eastAsia="zh-CN"/>
        </w:rPr>
        <w:t>各方都应在本协议履约目的范围内进行相关数据</w:t>
      </w:r>
      <w:r>
        <w:rPr>
          <w:rFonts w:hint="eastAsia" w:ascii="Times New Roman" w:hAnsi="Times New Roman" w:eastAsiaTheme="minorEastAsia"/>
          <w:kern w:val="0"/>
          <w:sz w:val="24"/>
          <w:szCs w:val="24"/>
          <w:lang w:val="en-US"/>
        </w:rPr>
        <w:t>/</w:t>
      </w:r>
      <w:r>
        <w:rPr>
          <w:rFonts w:hint="eastAsia" w:ascii="Times New Roman" w:hAnsi="Times New Roman" w:eastAsiaTheme="minorEastAsia"/>
          <w:kern w:val="0"/>
          <w:sz w:val="24"/>
          <w:szCs w:val="24"/>
          <w:lang w:eastAsia="zh-CN"/>
        </w:rPr>
        <w:t>个人信息的采集、储存、处理等活动，各方上述活动应满足《中华人民共和国个人信息保护法》《中华人民共和国网络安全法》《中华人民共和国数据安全法》等相关法律法规的规定以及医疗技术规范的要求。各方都应尽最大的审慎的义务来保障上述数据</w:t>
      </w:r>
      <w:r>
        <w:rPr>
          <w:rFonts w:hint="eastAsia" w:ascii="Times New Roman" w:hAnsi="Times New Roman" w:eastAsiaTheme="minorEastAsia"/>
          <w:kern w:val="0"/>
          <w:sz w:val="24"/>
          <w:szCs w:val="24"/>
          <w:lang w:val="en-US"/>
        </w:rPr>
        <w:t>/</w:t>
      </w:r>
      <w:r>
        <w:rPr>
          <w:rFonts w:hint="eastAsia" w:ascii="Times New Roman" w:hAnsi="Times New Roman" w:eastAsiaTheme="minorEastAsia"/>
          <w:kern w:val="0"/>
          <w:sz w:val="24"/>
          <w:szCs w:val="24"/>
          <w:lang w:eastAsia="zh-CN"/>
        </w:rPr>
        <w:t>个人信息的安全。未经相关部门许可，甲方应保证在本合同履约目的范围内取得的相关数据</w:t>
      </w:r>
      <w:r>
        <w:rPr>
          <w:rFonts w:hint="eastAsia" w:ascii="Times New Roman" w:hAnsi="Times New Roman" w:eastAsiaTheme="minorEastAsia"/>
          <w:kern w:val="0"/>
          <w:sz w:val="24"/>
          <w:szCs w:val="24"/>
          <w:lang w:val="en-US"/>
        </w:rPr>
        <w:t>/</w:t>
      </w:r>
      <w:r>
        <w:rPr>
          <w:rFonts w:hint="eastAsia" w:ascii="Times New Roman" w:hAnsi="Times New Roman" w:eastAsiaTheme="minorEastAsia"/>
          <w:kern w:val="0"/>
          <w:sz w:val="24"/>
          <w:szCs w:val="24"/>
          <w:lang w:eastAsia="zh-CN"/>
        </w:rPr>
        <w:t>个人信息都在中华人民共和国境内存储，不得将上述数据和信息传输到境外。</w:t>
      </w:r>
    </w:p>
    <w:p>
      <w:pPr>
        <w:pStyle w:val="15"/>
        <w:keepNext w:val="0"/>
        <w:keepLines w:val="0"/>
        <w:pageBreakBefore w:val="0"/>
        <w:widowControl w:val="0"/>
        <w:numPr>
          <w:ilvl w:val="0"/>
          <w:numId w:val="12"/>
        </w:numPr>
        <w:kinsoku/>
        <w:wordWrap/>
        <w:overflowPunct/>
        <w:topLinePunct w:val="0"/>
        <w:autoSpaceDE w:val="0"/>
        <w:autoSpaceDN w:val="0"/>
        <w:bidi w:val="0"/>
        <w:adjustRightInd w:val="0"/>
        <w:snapToGrid/>
        <w:spacing w:line="360" w:lineRule="auto"/>
        <w:ind w:left="420" w:leftChars="0" w:firstLineChars="0"/>
        <w:jc w:val="left"/>
        <w:rPr>
          <w:rFonts w:hint="eastAsia" w:ascii="Times New Roman" w:hAnsi="Times New Roman" w:eastAsiaTheme="minorEastAsia"/>
          <w:kern w:val="0"/>
          <w:sz w:val="24"/>
          <w:szCs w:val="24"/>
        </w:rPr>
      </w:pPr>
      <w:r>
        <w:rPr>
          <w:rFonts w:hint="eastAsia" w:ascii="Times New Roman" w:hAnsi="Times New Roman" w:eastAsiaTheme="minorEastAsia"/>
          <w:kern w:val="0"/>
          <w:sz w:val="24"/>
          <w:szCs w:val="24"/>
          <w:lang w:val="en-US" w:eastAsia="zh-CN"/>
        </w:rPr>
        <w:t>对于本协议项下试验，如涉及人类遗传资源采集、收集、买卖、出口、出境等，须遵照《中华人民共和国人类遗传资源管理条例》《人类遗传资源管理暂行办法》的相关规定进行申报、审批或备案。未经乙方书面允许，甲方不得将已采集的人类遗传资源用作他用。</w:t>
      </w:r>
    </w:p>
    <w:p>
      <w:pPr>
        <w:keepNext w:val="0"/>
        <w:keepLines w:val="0"/>
        <w:pageBreakBefore w:val="0"/>
        <w:widowControl w:val="0"/>
        <w:kinsoku/>
        <w:wordWrap/>
        <w:overflowPunct/>
        <w:topLinePunct w:val="0"/>
        <w:bidi w:val="0"/>
        <w:snapToGrid/>
        <w:spacing w:before="156" w:beforeLines="50" w:line="360" w:lineRule="auto"/>
        <w:ind w:left="0" w:leftChars="0"/>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lang w:eastAsia="zh-CN"/>
        </w:rPr>
        <w:t>十</w:t>
      </w:r>
      <w:r>
        <w:rPr>
          <w:rFonts w:hint="eastAsia" w:cs="Arial" w:asciiTheme="minorEastAsia" w:hAnsiTheme="minorEastAsia" w:eastAsiaTheme="minorEastAsia"/>
          <w:b/>
          <w:color w:val="000000"/>
          <w:sz w:val="24"/>
          <w:szCs w:val="24"/>
        </w:rPr>
        <w:t>、甲方失职应承担的责任</w:t>
      </w:r>
    </w:p>
    <w:p>
      <w:pPr>
        <w:keepNext w:val="0"/>
        <w:keepLines w:val="0"/>
        <w:pageBreakBefore w:val="0"/>
        <w:widowControl w:val="0"/>
        <w:kinsoku/>
        <w:wordWrap/>
        <w:overflowPunct/>
        <w:topLinePunct w:val="0"/>
        <w:bidi w:val="0"/>
        <w:snapToGrid/>
        <w:spacing w:line="360" w:lineRule="auto"/>
        <w:ind w:left="0" w:leftChars="0" w:firstLine="480" w:firstLineChars="200"/>
        <w:rPr>
          <w:rFonts w:ascii="宋体" w:hAnsi="宋体" w:eastAsia="宋体"/>
          <w:szCs w:val="28"/>
        </w:rPr>
      </w:pPr>
      <w:r>
        <w:rPr>
          <w:rFonts w:hint="eastAsia" w:ascii="宋体" w:hAnsi="宋体" w:eastAsia="宋体"/>
          <w:sz w:val="24"/>
          <w:szCs w:val="24"/>
        </w:rPr>
        <w:t>参考《药物临床试验质量管理规范》中第六章“</w:t>
      </w:r>
      <w:r>
        <w:rPr>
          <w:rFonts w:hint="eastAsia" w:ascii="宋体" w:hAnsi="宋体" w:eastAsia="宋体"/>
          <w:color w:val="000000" w:themeColor="text1"/>
          <w:sz w:val="24"/>
          <w:szCs w:val="24"/>
          <w14:textFill>
            <w14:solidFill>
              <w14:schemeClr w14:val="tx1"/>
            </w14:solidFill>
          </w14:textFill>
        </w:rPr>
        <w:t>申办者</w:t>
      </w:r>
      <w:r>
        <w:rPr>
          <w:rFonts w:hint="eastAsia" w:ascii="宋体" w:hAnsi="宋体" w:eastAsia="宋体"/>
          <w:sz w:val="24"/>
          <w:szCs w:val="24"/>
        </w:rPr>
        <w:t>职责”规定，如不能达到所述条款，均可判为失职。如涉及以下违规行为，甲方承担相应法律责任。</w:t>
      </w:r>
    </w:p>
    <w:p>
      <w:pPr>
        <w:pStyle w:val="15"/>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420" w:leftChars="0"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甲方派出的监查员或有关的人员等在监查、随访、数据审核等一切活动中不得参与原始数据的篡改、修改、修饰等，如有违反，甲方将承担所有的相关法律责任；</w:t>
      </w:r>
    </w:p>
    <w:p>
      <w:pPr>
        <w:pStyle w:val="15"/>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420" w:leftChars="0"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甲方派出的监查员或有关的人员等在监查、随访、数据审核等一切活动中，如有意或无意泄露受试者信息，造成受试者权益受损或受试者追诉相关责任和赔偿</w:t>
      </w:r>
      <w:r>
        <w:rPr>
          <w:rFonts w:asciiTheme="majorEastAsia" w:hAnsiTheme="majorEastAsia" w:eastAsiaTheme="majorEastAsia"/>
          <w:sz w:val="24"/>
        </w:rPr>
        <w:t>时，</w:t>
      </w:r>
      <w:r>
        <w:rPr>
          <w:rFonts w:hint="eastAsia" w:asciiTheme="majorEastAsia" w:hAnsiTheme="majorEastAsia" w:eastAsiaTheme="majorEastAsia"/>
          <w:sz w:val="24"/>
        </w:rPr>
        <w:t>甲方</w:t>
      </w:r>
      <w:r>
        <w:rPr>
          <w:rFonts w:asciiTheme="majorEastAsia" w:hAnsiTheme="majorEastAsia" w:eastAsiaTheme="majorEastAsia"/>
          <w:sz w:val="24"/>
        </w:rPr>
        <w:t>应承担相关法律责任</w:t>
      </w:r>
      <w:r>
        <w:rPr>
          <w:rFonts w:hint="eastAsia" w:ascii="Times New Roman" w:hAnsi="Times New Roman" w:eastAsiaTheme="minorEastAsia"/>
          <w:kern w:val="0"/>
          <w:sz w:val="24"/>
          <w:szCs w:val="24"/>
        </w:rPr>
        <w:t>。</w:t>
      </w:r>
    </w:p>
    <w:p>
      <w:pPr>
        <w:pStyle w:val="15"/>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420" w:leftChars="0" w:firstLineChars="0"/>
        <w:jc w:val="left"/>
        <w:rPr>
          <w:rFonts w:asciiTheme="majorEastAsia" w:hAnsiTheme="majorEastAsia" w:eastAsiaTheme="majorEastAsia"/>
          <w:color w:val="FF0000"/>
          <w:sz w:val="24"/>
        </w:rPr>
      </w:pPr>
      <w:r>
        <w:rPr>
          <w:rFonts w:ascii="Times New Roman" w:hAnsi="Times New Roman" w:eastAsiaTheme="minorEastAsia"/>
          <w:kern w:val="0"/>
          <w:sz w:val="24"/>
          <w:szCs w:val="24"/>
        </w:rPr>
        <w:t>生物样本应在各临床研究机构的实验室、该试验组长单位实验室或卫计委认可的其他第三方实验室（需提供该实验室的资质和卫计委临检中心出具的室间质控证明）进行生物样本的检测，如在临床研究机构以外的其他单位检测，需经机构和伦理委员会批准后方可。不允许</w:t>
      </w:r>
      <w:r>
        <w:rPr>
          <w:rFonts w:hint="eastAsia" w:ascii="Times New Roman" w:hAnsi="Times New Roman" w:eastAsiaTheme="minorEastAsia"/>
          <w:kern w:val="0"/>
          <w:sz w:val="24"/>
          <w:szCs w:val="24"/>
        </w:rPr>
        <w:t>甲方</w:t>
      </w:r>
      <w:r>
        <w:rPr>
          <w:rFonts w:ascii="Times New Roman" w:hAnsi="Times New Roman" w:eastAsiaTheme="minorEastAsia"/>
          <w:kern w:val="0"/>
          <w:sz w:val="24"/>
          <w:szCs w:val="24"/>
        </w:rPr>
        <w:t>或其代理人擅自运输</w:t>
      </w:r>
      <w:r>
        <w:rPr>
          <w:rFonts w:hint="eastAsia" w:ascii="Times New Roman" w:hAnsi="Times New Roman" w:eastAsiaTheme="minorEastAsia"/>
          <w:kern w:val="0"/>
          <w:sz w:val="24"/>
          <w:szCs w:val="24"/>
        </w:rPr>
        <w:t>生物样本</w:t>
      </w:r>
      <w:r>
        <w:rPr>
          <w:rFonts w:ascii="Times New Roman" w:hAnsi="Times New Roman" w:eastAsiaTheme="minorEastAsia"/>
          <w:kern w:val="0"/>
          <w:sz w:val="24"/>
          <w:szCs w:val="24"/>
        </w:rPr>
        <w:t>到国外检测，除非国家政府有关部门批准。</w:t>
      </w:r>
      <w:r>
        <w:rPr>
          <w:rFonts w:hint="eastAsia" w:ascii="Times New Roman" w:hAnsi="Times New Roman" w:eastAsiaTheme="minorEastAsia"/>
          <w:kern w:val="0"/>
          <w:sz w:val="24"/>
          <w:szCs w:val="24"/>
        </w:rPr>
        <w:t>送至中心实验室的生物样本或剩余样本未经允许超范围检测相关数据，甲方</w:t>
      </w:r>
      <w:r>
        <w:rPr>
          <w:rFonts w:asciiTheme="majorEastAsia" w:hAnsiTheme="majorEastAsia" w:eastAsiaTheme="majorEastAsia"/>
          <w:sz w:val="24"/>
        </w:rPr>
        <w:t>应承担相关法律责任</w:t>
      </w:r>
      <w:r>
        <w:rPr>
          <w:rFonts w:hint="eastAsia" w:ascii="Times New Roman" w:hAnsi="Times New Roman" w:eastAsiaTheme="minorEastAsia"/>
          <w:kern w:val="0"/>
          <w:sz w:val="24"/>
          <w:szCs w:val="24"/>
        </w:rPr>
        <w:t>。</w:t>
      </w:r>
    </w:p>
    <w:p>
      <w:pPr>
        <w:pStyle w:val="15"/>
        <w:keepNext w:val="0"/>
        <w:keepLines w:val="0"/>
        <w:pageBreakBefore w:val="0"/>
        <w:widowControl w:val="0"/>
        <w:numPr>
          <w:ilvl w:val="0"/>
          <w:numId w:val="13"/>
        </w:numPr>
        <w:kinsoku/>
        <w:wordWrap/>
        <w:overflowPunct/>
        <w:topLinePunct w:val="0"/>
        <w:autoSpaceDE w:val="0"/>
        <w:autoSpaceDN w:val="0"/>
        <w:bidi w:val="0"/>
        <w:adjustRightInd w:val="0"/>
        <w:snapToGrid/>
        <w:spacing w:line="360" w:lineRule="auto"/>
        <w:ind w:left="420" w:leftChars="0" w:firstLineChars="0"/>
        <w:jc w:val="left"/>
        <w:rPr>
          <w:rFonts w:ascii="Times New Roman" w:hAnsi="Times New Roman" w:eastAsiaTheme="minorEastAsia"/>
          <w:kern w:val="0"/>
          <w:sz w:val="24"/>
          <w:szCs w:val="24"/>
        </w:rPr>
      </w:pPr>
      <w:r>
        <w:rPr>
          <w:rFonts w:hint="eastAsia" w:ascii="Times New Roman" w:hAnsi="Times New Roman" w:eastAsiaTheme="minorEastAsia"/>
          <w:kern w:val="0"/>
          <w:sz w:val="24"/>
          <w:szCs w:val="24"/>
        </w:rPr>
        <w:t>如果甲方或</w:t>
      </w:r>
      <w:r>
        <w:rPr>
          <w:rFonts w:ascii="Times New Roman" w:hAnsi="Times New Roman" w:eastAsiaTheme="minorEastAsia"/>
          <w:kern w:val="0"/>
          <w:sz w:val="24"/>
          <w:szCs w:val="24"/>
        </w:rPr>
        <w:t>合同研究组织</w:t>
      </w:r>
      <w:r>
        <w:rPr>
          <w:rFonts w:hint="eastAsia" w:ascii="Times New Roman" w:hAnsi="Times New Roman" w:eastAsiaTheme="minorEastAsia"/>
          <w:kern w:val="0"/>
          <w:sz w:val="24"/>
          <w:szCs w:val="24"/>
        </w:rPr>
        <w:t>（CRO）监查员发现临床研究机构未严格执行试验方案或未严格执行GCP，甲方或CRO监查员应及时书面通知研究者进行改正。甲方或</w:t>
      </w:r>
      <w:r>
        <w:rPr>
          <w:rFonts w:ascii="Times New Roman" w:hAnsi="Times New Roman" w:eastAsiaTheme="minorEastAsia"/>
          <w:kern w:val="0"/>
          <w:sz w:val="24"/>
          <w:szCs w:val="24"/>
        </w:rPr>
        <w:t>CRO</w:t>
      </w:r>
      <w:r>
        <w:rPr>
          <w:rFonts w:hint="eastAsia" w:ascii="Times New Roman" w:hAnsi="Times New Roman" w:eastAsiaTheme="minorEastAsia"/>
          <w:kern w:val="0"/>
          <w:sz w:val="24"/>
          <w:szCs w:val="24"/>
        </w:rPr>
        <w:t>监查员的监查记录对试验数据和质量的认同即代表甲方或CRO确认接受试验数据。基于对这些数据的接受，甲方或CRO将不得再对日后发现的试验数据差异或其他质量问题要求乙方承担责任。</w:t>
      </w:r>
    </w:p>
    <w:p>
      <w:pPr>
        <w:keepNext w:val="0"/>
        <w:keepLines w:val="0"/>
        <w:pageBreakBefore w:val="0"/>
        <w:widowControl w:val="0"/>
        <w:kinsoku/>
        <w:wordWrap/>
        <w:overflowPunct/>
        <w:topLinePunct w:val="0"/>
        <w:bidi w:val="0"/>
        <w:snapToGrid/>
        <w:spacing w:before="156" w:beforeLines="50" w:line="360" w:lineRule="auto"/>
        <w:ind w:left="0" w:leftChars="0"/>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lang w:eastAsia="zh-CN"/>
        </w:rPr>
        <w:t>十一</w:t>
      </w:r>
      <w:r>
        <w:rPr>
          <w:rFonts w:hint="eastAsia" w:cs="Arial" w:asciiTheme="minorEastAsia" w:hAnsiTheme="minorEastAsia" w:eastAsiaTheme="minorEastAsia"/>
          <w:b/>
          <w:color w:val="000000"/>
          <w:sz w:val="24"/>
          <w:szCs w:val="24"/>
        </w:rPr>
        <w:t>、研究者过错应承担的责任</w:t>
      </w:r>
    </w:p>
    <w:p>
      <w:pPr>
        <w:pStyle w:val="16"/>
        <w:keepNext w:val="0"/>
        <w:keepLines w:val="0"/>
        <w:pageBreakBefore w:val="0"/>
        <w:widowControl w:val="0"/>
        <w:numPr>
          <w:ilvl w:val="0"/>
          <w:numId w:val="14"/>
        </w:numPr>
        <w:kinsoku/>
        <w:wordWrap/>
        <w:overflowPunct/>
        <w:topLinePunct w:val="0"/>
        <w:bidi w:val="0"/>
        <w:snapToGrid/>
        <w:spacing w:line="360" w:lineRule="auto"/>
        <w:ind w:left="420" w:leftChars="0" w:firstLineChars="0"/>
        <w:rPr>
          <w:rFonts w:ascii="宋体" w:hAnsi="宋体" w:eastAsia="宋体"/>
          <w:sz w:val="24"/>
          <w:szCs w:val="24"/>
        </w:rPr>
      </w:pPr>
      <w:r>
        <w:rPr>
          <w:rFonts w:hint="eastAsia" w:eastAsiaTheme="minorEastAsia"/>
          <w:sz w:val="24"/>
          <w:szCs w:val="24"/>
        </w:rPr>
        <w:t>研究者过错是指主观上不希望、不故意，客观上凭专业能力和责任应该能够预见，由于研</w:t>
      </w:r>
      <w:r>
        <w:rPr>
          <w:rFonts w:hint="eastAsia" w:ascii="宋体" w:hAnsi="宋体" w:eastAsia="宋体"/>
          <w:sz w:val="24"/>
          <w:szCs w:val="24"/>
        </w:rPr>
        <w:t>究者的疏忽大意而造成不良后果的，不良后果与研究的过失与疏忽存在直接因果关系，主要有以下几点：</w:t>
      </w:r>
      <w:r>
        <w:rPr>
          <w:rFonts w:ascii="宋体" w:hAnsi="宋体" w:eastAsia="宋体"/>
          <w:sz w:val="24"/>
          <w:szCs w:val="24"/>
        </w:rPr>
        <w:t xml:space="preserve"> </w:t>
      </w:r>
    </w:p>
    <w:p>
      <w:pPr>
        <w:pStyle w:val="15"/>
        <w:keepNext w:val="0"/>
        <w:keepLines w:val="0"/>
        <w:pageBreakBefore w:val="0"/>
        <w:widowControl w:val="0"/>
        <w:numPr>
          <w:ilvl w:val="0"/>
          <w:numId w:val="15"/>
        </w:numPr>
        <w:kinsoku/>
        <w:wordWrap/>
        <w:overflowPunct/>
        <w:topLinePunct w:val="0"/>
        <w:bidi w:val="0"/>
        <w:snapToGrid/>
        <w:spacing w:line="360" w:lineRule="auto"/>
        <w:ind w:left="425" w:leftChars="0" w:hanging="425" w:firstLineChars="0"/>
        <w:rPr>
          <w:rFonts w:ascii="宋体" w:hAnsi="宋体"/>
          <w:sz w:val="24"/>
          <w:szCs w:val="24"/>
        </w:rPr>
      </w:pPr>
      <w:r>
        <w:rPr>
          <w:rFonts w:hint="eastAsia" w:ascii="宋体" w:hAnsi="宋体"/>
          <w:sz w:val="24"/>
          <w:szCs w:val="24"/>
        </w:rPr>
        <w:t>研究者的诊疗行为被医学会认定为医疗事故。</w:t>
      </w:r>
    </w:p>
    <w:p>
      <w:pPr>
        <w:pStyle w:val="15"/>
        <w:keepNext w:val="0"/>
        <w:keepLines w:val="0"/>
        <w:pageBreakBefore w:val="0"/>
        <w:widowControl w:val="0"/>
        <w:numPr>
          <w:ilvl w:val="0"/>
          <w:numId w:val="15"/>
        </w:numPr>
        <w:kinsoku/>
        <w:wordWrap/>
        <w:overflowPunct/>
        <w:topLinePunct w:val="0"/>
        <w:bidi w:val="0"/>
        <w:snapToGrid/>
        <w:spacing w:line="360" w:lineRule="auto"/>
        <w:ind w:left="425" w:leftChars="0" w:hanging="425" w:firstLineChars="0"/>
        <w:rPr>
          <w:rFonts w:ascii="宋体" w:hAnsi="宋体"/>
          <w:sz w:val="24"/>
          <w:szCs w:val="24"/>
        </w:rPr>
      </w:pPr>
      <w:r>
        <w:rPr>
          <w:rFonts w:hint="eastAsia" w:ascii="宋体" w:hAnsi="宋体"/>
          <w:sz w:val="24"/>
          <w:szCs w:val="24"/>
        </w:rPr>
        <w:t>研究者的诊疗行为存在过错与损害后果之间存在因果关系，且有相关司法鉴定中心出具的司法鉴定意见书。</w:t>
      </w:r>
    </w:p>
    <w:p>
      <w:pPr>
        <w:pStyle w:val="15"/>
        <w:keepNext w:val="0"/>
        <w:keepLines w:val="0"/>
        <w:pageBreakBefore w:val="0"/>
        <w:widowControl w:val="0"/>
        <w:numPr>
          <w:ilvl w:val="0"/>
          <w:numId w:val="15"/>
        </w:numPr>
        <w:kinsoku/>
        <w:wordWrap/>
        <w:overflowPunct/>
        <w:topLinePunct w:val="0"/>
        <w:bidi w:val="0"/>
        <w:snapToGrid/>
        <w:spacing w:line="360" w:lineRule="auto"/>
        <w:ind w:left="425" w:leftChars="0" w:hanging="425" w:firstLineChars="0"/>
        <w:rPr>
          <w:rFonts w:ascii="宋体" w:hAnsi="宋体"/>
          <w:sz w:val="24"/>
          <w:szCs w:val="24"/>
        </w:rPr>
      </w:pPr>
      <w:r>
        <w:rPr>
          <w:rFonts w:hint="eastAsia" w:ascii="宋体" w:hAnsi="宋体"/>
          <w:sz w:val="24"/>
          <w:szCs w:val="24"/>
        </w:rPr>
        <w:t>研究者未遵从临床试验方案、或未遵从甲方就试验提出的书面建议及指导说明而造成受试者的损害。</w:t>
      </w:r>
    </w:p>
    <w:p>
      <w:pPr>
        <w:pStyle w:val="15"/>
        <w:keepNext w:val="0"/>
        <w:keepLines w:val="0"/>
        <w:pageBreakBefore w:val="0"/>
        <w:widowControl w:val="0"/>
        <w:numPr>
          <w:ilvl w:val="0"/>
          <w:numId w:val="15"/>
        </w:numPr>
        <w:kinsoku/>
        <w:wordWrap/>
        <w:overflowPunct/>
        <w:topLinePunct w:val="0"/>
        <w:bidi w:val="0"/>
        <w:snapToGrid/>
        <w:spacing w:line="360" w:lineRule="auto"/>
        <w:ind w:left="425" w:leftChars="0" w:hanging="425" w:firstLineChars="0"/>
        <w:rPr>
          <w:rFonts w:ascii="宋体" w:hAnsi="宋体"/>
          <w:sz w:val="24"/>
          <w:szCs w:val="24"/>
        </w:rPr>
      </w:pPr>
      <w:r>
        <w:rPr>
          <w:rFonts w:hint="eastAsia" w:ascii="宋体" w:hAnsi="宋体"/>
          <w:sz w:val="24"/>
          <w:szCs w:val="24"/>
        </w:rPr>
        <w:t>研究者违背现</w:t>
      </w:r>
      <w:r>
        <w:rPr>
          <w:rFonts w:ascii="Times New Roman" w:hAnsi="宋体"/>
          <w:kern w:val="0"/>
          <w:sz w:val="24"/>
          <w:szCs w:val="24"/>
        </w:rPr>
        <w:t>行</w:t>
      </w:r>
      <w:r>
        <w:rPr>
          <w:rFonts w:ascii="Times New Roman" w:hAnsi="Times New Roman" w:eastAsiaTheme="minorEastAsia"/>
          <w:sz w:val="24"/>
          <w:szCs w:val="24"/>
        </w:rPr>
        <w:t>NMPA</w:t>
      </w:r>
      <w:r>
        <w:rPr>
          <w:rFonts w:ascii="Times New Roman" w:hAnsi="宋体"/>
          <w:kern w:val="0"/>
          <w:sz w:val="24"/>
          <w:szCs w:val="24"/>
        </w:rPr>
        <w:t>的</w:t>
      </w:r>
      <w:r>
        <w:rPr>
          <w:rFonts w:hint="eastAsia" w:ascii="宋体" w:hAnsi="宋体"/>
          <w:sz w:val="24"/>
          <w:szCs w:val="24"/>
        </w:rPr>
        <w:t>规定及相关的法律、法规或规章，导致的受试者的损害。</w:t>
      </w:r>
    </w:p>
    <w:p>
      <w:pPr>
        <w:pStyle w:val="15"/>
        <w:keepNext w:val="0"/>
        <w:keepLines w:val="0"/>
        <w:pageBreakBefore w:val="0"/>
        <w:widowControl w:val="0"/>
        <w:numPr>
          <w:ilvl w:val="0"/>
          <w:numId w:val="15"/>
        </w:numPr>
        <w:kinsoku/>
        <w:wordWrap/>
        <w:overflowPunct/>
        <w:topLinePunct w:val="0"/>
        <w:bidi w:val="0"/>
        <w:snapToGrid/>
        <w:spacing w:line="360" w:lineRule="auto"/>
        <w:ind w:left="425" w:leftChars="0" w:hanging="425" w:firstLineChars="0"/>
        <w:rPr>
          <w:rFonts w:ascii="宋体" w:hAnsi="宋体"/>
          <w:sz w:val="24"/>
          <w:szCs w:val="24"/>
        </w:rPr>
      </w:pPr>
      <w:r>
        <w:rPr>
          <w:rFonts w:hint="eastAsia" w:ascii="宋体" w:hAnsi="宋体"/>
          <w:sz w:val="24"/>
          <w:szCs w:val="24"/>
        </w:rPr>
        <w:t>研究者违背保密原则，泄露甲方相关保密信息，侵犯甲方知识产权等，造成甲方损失。</w:t>
      </w:r>
    </w:p>
    <w:p>
      <w:pPr>
        <w:pStyle w:val="15"/>
        <w:keepNext w:val="0"/>
        <w:keepLines w:val="0"/>
        <w:pageBreakBefore w:val="0"/>
        <w:widowControl w:val="0"/>
        <w:numPr>
          <w:ilvl w:val="0"/>
          <w:numId w:val="14"/>
        </w:numPr>
        <w:kinsoku/>
        <w:wordWrap/>
        <w:overflowPunct/>
        <w:topLinePunct w:val="0"/>
        <w:bidi w:val="0"/>
        <w:snapToGrid/>
        <w:spacing w:line="360" w:lineRule="auto"/>
        <w:ind w:left="420" w:leftChars="0" w:firstLineChars="0"/>
        <w:rPr>
          <w:rFonts w:ascii="宋体" w:hAnsi="宋体"/>
          <w:sz w:val="24"/>
          <w:szCs w:val="24"/>
        </w:rPr>
      </w:pPr>
      <w:r>
        <w:rPr>
          <w:rFonts w:hint="eastAsia" w:ascii="宋体" w:hAnsi="宋体"/>
          <w:sz w:val="24"/>
          <w:szCs w:val="24"/>
        </w:rPr>
        <w:t>研究者过失或疏忽引起的纠纷或赔偿的责任认定：</w:t>
      </w:r>
    </w:p>
    <w:p>
      <w:pPr>
        <w:pStyle w:val="16"/>
        <w:keepNext w:val="0"/>
        <w:keepLines w:val="0"/>
        <w:pageBreakBefore w:val="0"/>
        <w:widowControl w:val="0"/>
        <w:numPr>
          <w:ilvl w:val="0"/>
          <w:numId w:val="16"/>
        </w:numPr>
        <w:kinsoku/>
        <w:wordWrap/>
        <w:overflowPunct/>
        <w:topLinePunct w:val="0"/>
        <w:bidi w:val="0"/>
        <w:snapToGrid/>
        <w:spacing w:line="360" w:lineRule="auto"/>
        <w:ind w:left="425" w:leftChars="0" w:hanging="425" w:firstLineChars="0"/>
        <w:rPr>
          <w:rFonts w:ascii="宋体" w:hAnsi="宋体" w:eastAsia="宋体"/>
          <w:sz w:val="24"/>
          <w:szCs w:val="24"/>
        </w:rPr>
      </w:pPr>
      <w:r>
        <w:rPr>
          <w:rFonts w:hint="eastAsia" w:ascii="宋体" w:hAnsi="宋体" w:eastAsia="宋体"/>
          <w:sz w:val="24"/>
          <w:szCs w:val="24"/>
        </w:rPr>
        <w:t>鉴于药物临床试验是一项复杂且繁琐的科研活动，轻微的方案偏离或违背在所难免，研究者因过失或疏忽造成的轻微的方案偏离或违背并未导致严重后果的，研究者和乙方可以免责。</w:t>
      </w:r>
    </w:p>
    <w:p>
      <w:pPr>
        <w:pStyle w:val="16"/>
        <w:keepNext w:val="0"/>
        <w:keepLines w:val="0"/>
        <w:pageBreakBefore w:val="0"/>
        <w:widowControl w:val="0"/>
        <w:numPr>
          <w:ilvl w:val="0"/>
          <w:numId w:val="16"/>
        </w:numPr>
        <w:kinsoku/>
        <w:wordWrap/>
        <w:overflowPunct/>
        <w:topLinePunct w:val="0"/>
        <w:bidi w:val="0"/>
        <w:snapToGrid/>
        <w:spacing w:line="360" w:lineRule="auto"/>
        <w:ind w:left="425" w:leftChars="0" w:hanging="425" w:firstLineChars="0"/>
        <w:rPr>
          <w:rFonts w:ascii="宋体" w:hAnsi="宋体" w:eastAsia="宋体"/>
          <w:sz w:val="24"/>
          <w:szCs w:val="24"/>
        </w:rPr>
      </w:pPr>
      <w:r>
        <w:rPr>
          <w:rFonts w:hint="eastAsia" w:ascii="宋体" w:hAnsi="宋体" w:eastAsia="宋体"/>
          <w:sz w:val="24"/>
          <w:szCs w:val="24"/>
        </w:rPr>
        <w:t>药物临床试验质量的主要责任方为甲方，研究者对双方约定的方案负责，乙方不对该药物是否能通过注册审评或上市负责，但研究者应对因个人或委托的职员的过失或疏忽并造成严重后果负责。</w:t>
      </w:r>
    </w:p>
    <w:p>
      <w:pPr>
        <w:pStyle w:val="16"/>
        <w:keepNext w:val="0"/>
        <w:keepLines w:val="0"/>
        <w:pageBreakBefore w:val="0"/>
        <w:widowControl w:val="0"/>
        <w:numPr>
          <w:ilvl w:val="0"/>
          <w:numId w:val="16"/>
        </w:numPr>
        <w:kinsoku/>
        <w:wordWrap/>
        <w:overflowPunct/>
        <w:topLinePunct w:val="0"/>
        <w:bidi w:val="0"/>
        <w:snapToGrid/>
        <w:spacing w:line="360" w:lineRule="auto"/>
        <w:ind w:left="425" w:leftChars="0" w:hanging="425" w:firstLineChars="0"/>
        <w:rPr>
          <w:rFonts w:ascii="宋体" w:hAnsi="宋体" w:eastAsia="宋体"/>
          <w:sz w:val="24"/>
          <w:szCs w:val="24"/>
        </w:rPr>
      </w:pPr>
      <w:r>
        <w:rPr>
          <w:rFonts w:hint="eastAsia" w:ascii="宋体" w:hAnsi="宋体" w:eastAsia="宋体"/>
          <w:sz w:val="24"/>
          <w:szCs w:val="24"/>
        </w:rPr>
        <w:t>甲方应及时对试验项目进行监查，发现并指出研究者的过失与疏忽，如监查员未履行职责，甲方也应承担相应的责任。</w:t>
      </w:r>
    </w:p>
    <w:p>
      <w:pPr>
        <w:pStyle w:val="15"/>
        <w:keepNext w:val="0"/>
        <w:keepLines w:val="0"/>
        <w:pageBreakBefore w:val="0"/>
        <w:widowControl w:val="0"/>
        <w:numPr>
          <w:ilvl w:val="0"/>
          <w:numId w:val="16"/>
        </w:numPr>
        <w:kinsoku/>
        <w:wordWrap/>
        <w:overflowPunct/>
        <w:topLinePunct w:val="0"/>
        <w:bidi w:val="0"/>
        <w:snapToGrid/>
        <w:spacing w:line="360" w:lineRule="auto"/>
        <w:ind w:left="425" w:leftChars="0" w:hanging="425" w:firstLineChars="0"/>
        <w:rPr>
          <w:rFonts w:ascii="宋体" w:hAnsi="宋体"/>
          <w:kern w:val="0"/>
          <w:sz w:val="24"/>
          <w:szCs w:val="24"/>
        </w:rPr>
      </w:pPr>
      <w:r>
        <w:rPr>
          <w:rFonts w:hint="eastAsia" w:ascii="宋体" w:hAnsi="宋体"/>
          <w:kern w:val="0"/>
          <w:sz w:val="24"/>
          <w:szCs w:val="24"/>
        </w:rPr>
        <w:t>研究者恶意违反中国的有关法律、法规、试验方案造成不良后果的，由研究者承担相应责任。</w:t>
      </w:r>
    </w:p>
    <w:p>
      <w:pPr>
        <w:pStyle w:val="15"/>
        <w:keepNext w:val="0"/>
        <w:keepLines w:val="0"/>
        <w:pageBreakBefore w:val="0"/>
        <w:widowControl w:val="0"/>
        <w:numPr>
          <w:ilvl w:val="0"/>
          <w:numId w:val="16"/>
        </w:numPr>
        <w:kinsoku/>
        <w:wordWrap/>
        <w:overflowPunct/>
        <w:topLinePunct w:val="0"/>
        <w:bidi w:val="0"/>
        <w:snapToGrid/>
        <w:spacing w:line="360" w:lineRule="auto"/>
        <w:ind w:left="425" w:leftChars="0" w:hanging="425" w:firstLineChars="0"/>
        <w:rPr>
          <w:rFonts w:ascii="宋体" w:hAnsi="宋体"/>
          <w:kern w:val="0"/>
          <w:sz w:val="24"/>
          <w:szCs w:val="24"/>
        </w:rPr>
      </w:pPr>
      <w:r>
        <w:rPr>
          <w:rFonts w:hint="eastAsia" w:ascii="宋体" w:hAnsi="宋体"/>
          <w:sz w:val="24"/>
          <w:szCs w:val="24"/>
        </w:rPr>
        <w:t>甲方与乙方就研究者过错不能达成一致时，由甲方对研究者是否存在过错、过错与损害后果是否存在因果关系进行举证，如相关机构认定研究者存在过错且与损害后果之间存在因果关系时，由研究者承担相应责任。</w:t>
      </w:r>
    </w:p>
    <w:p>
      <w:pPr>
        <w:keepNext w:val="0"/>
        <w:keepLines w:val="0"/>
        <w:pageBreakBefore w:val="0"/>
        <w:widowControl w:val="0"/>
        <w:kinsoku/>
        <w:wordWrap/>
        <w:overflowPunct/>
        <w:topLinePunct w:val="0"/>
        <w:bidi w:val="0"/>
        <w:snapToGrid/>
        <w:spacing w:before="156" w:beforeLines="50" w:line="360" w:lineRule="auto"/>
        <w:ind w:left="0" w:leftChars="0"/>
        <w:outlineLvl w:val="0"/>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sz w:val="24"/>
          <w:szCs w:val="24"/>
        </w:rPr>
        <w:t>十</w:t>
      </w:r>
      <w:r>
        <w:rPr>
          <w:rFonts w:hint="eastAsia" w:cs="Arial" w:asciiTheme="minorEastAsia" w:hAnsiTheme="minorEastAsia" w:eastAsiaTheme="minorEastAsia"/>
          <w:b/>
          <w:color w:val="000000"/>
          <w:sz w:val="24"/>
          <w:szCs w:val="24"/>
          <w:lang w:eastAsia="zh-CN"/>
        </w:rPr>
        <w:t>二</w:t>
      </w:r>
      <w:r>
        <w:rPr>
          <w:rFonts w:hint="eastAsia" w:cs="Arial" w:asciiTheme="minorEastAsia" w:hAnsiTheme="minorEastAsia" w:eastAsiaTheme="minorEastAsia"/>
          <w:b/>
          <w:color w:val="000000"/>
          <w:sz w:val="24"/>
          <w:szCs w:val="24"/>
        </w:rPr>
        <w:t>、</w:t>
      </w:r>
      <w:r>
        <w:rPr>
          <w:rFonts w:cs="Arial" w:asciiTheme="minorEastAsia" w:hAnsiTheme="minorEastAsia" w:eastAsiaTheme="minorEastAsia"/>
          <w:b/>
          <w:color w:val="000000"/>
          <w:sz w:val="24"/>
          <w:szCs w:val="24"/>
        </w:rPr>
        <w:t>不可抗力</w:t>
      </w:r>
    </w:p>
    <w:p>
      <w:pPr>
        <w:keepNext w:val="0"/>
        <w:keepLines w:val="0"/>
        <w:pageBreakBefore w:val="0"/>
        <w:widowControl w:val="0"/>
        <w:kinsoku/>
        <w:wordWrap/>
        <w:overflowPunct/>
        <w:topLinePunct w:val="0"/>
        <w:bidi w:val="0"/>
        <w:snapToGrid/>
        <w:spacing w:line="360" w:lineRule="auto"/>
        <w:ind w:left="0" w:leftChars="0" w:firstLine="480" w:firstLineChars="200"/>
        <w:rPr>
          <w:rFonts w:ascii="宋体" w:hAnsi="宋体" w:eastAsia="宋体"/>
          <w:sz w:val="24"/>
          <w:szCs w:val="24"/>
        </w:rPr>
      </w:pPr>
      <w:r>
        <w:rPr>
          <w:rFonts w:ascii="宋体" w:hAnsi="宋体" w:eastAsia="宋体"/>
          <w:sz w:val="24"/>
          <w:szCs w:val="24"/>
        </w:rPr>
        <w:t>由于天灾、</w:t>
      </w:r>
      <w:r>
        <w:rPr>
          <w:rFonts w:hint="eastAsia" w:ascii="宋体" w:hAnsi="宋体" w:eastAsia="宋体"/>
          <w:sz w:val="24"/>
          <w:szCs w:val="24"/>
          <w:lang w:eastAsia="zh-CN"/>
        </w:rPr>
        <w:t>疫情、</w:t>
      </w:r>
      <w:r>
        <w:rPr>
          <w:rFonts w:ascii="宋体" w:hAnsi="宋体" w:eastAsia="宋体"/>
          <w:sz w:val="24"/>
          <w:szCs w:val="24"/>
        </w:rPr>
        <w:t>战争、内乱、暴动或者由于政府主管部门改变法律法规等不可抗力致使本协议无法履行的，</w:t>
      </w:r>
      <w:r>
        <w:rPr>
          <w:rFonts w:hint="eastAsia" w:ascii="宋体" w:hAnsi="宋体" w:eastAsia="宋体"/>
          <w:sz w:val="24"/>
          <w:szCs w:val="24"/>
        </w:rPr>
        <w:t>协议各方</w:t>
      </w:r>
      <w:r>
        <w:rPr>
          <w:rFonts w:ascii="宋体" w:hAnsi="宋体" w:eastAsia="宋体"/>
          <w:sz w:val="24"/>
          <w:szCs w:val="24"/>
        </w:rPr>
        <w:t>均不承担责任，但</w:t>
      </w:r>
      <w:r>
        <w:rPr>
          <w:rFonts w:hint="eastAsia" w:ascii="宋体" w:hAnsi="宋体" w:eastAsia="宋体"/>
          <w:sz w:val="24"/>
          <w:szCs w:val="24"/>
        </w:rPr>
        <w:t>各</w:t>
      </w:r>
      <w:r>
        <w:rPr>
          <w:rFonts w:ascii="宋体" w:hAnsi="宋体" w:eastAsia="宋体"/>
          <w:sz w:val="24"/>
          <w:szCs w:val="24"/>
        </w:rPr>
        <w:t>方应精诚合作，尽量使得对方的损失降到最低程度。</w:t>
      </w:r>
    </w:p>
    <w:p>
      <w:pPr>
        <w:keepNext w:val="0"/>
        <w:keepLines w:val="0"/>
        <w:pageBreakBefore w:val="0"/>
        <w:widowControl w:val="0"/>
        <w:kinsoku/>
        <w:wordWrap/>
        <w:overflowPunct/>
        <w:topLinePunct w:val="0"/>
        <w:bidi w:val="0"/>
        <w:snapToGrid/>
        <w:spacing w:before="156" w:beforeLines="50" w:line="360" w:lineRule="auto"/>
        <w:ind w:left="0" w:leftChars="0"/>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十</w:t>
      </w:r>
      <w:r>
        <w:rPr>
          <w:rFonts w:hint="eastAsia" w:cs="Arial" w:asciiTheme="minorEastAsia" w:hAnsiTheme="minorEastAsia" w:eastAsiaTheme="minorEastAsia"/>
          <w:b/>
          <w:color w:val="000000"/>
          <w:sz w:val="24"/>
          <w:szCs w:val="24"/>
          <w:lang w:eastAsia="zh-CN"/>
        </w:rPr>
        <w:t>三</w:t>
      </w:r>
      <w:r>
        <w:rPr>
          <w:rFonts w:hint="eastAsia" w:cs="Arial" w:asciiTheme="minorEastAsia" w:hAnsiTheme="minorEastAsia" w:eastAsiaTheme="minorEastAsia"/>
          <w:b/>
          <w:color w:val="000000"/>
          <w:sz w:val="24"/>
          <w:szCs w:val="24"/>
        </w:rPr>
        <w:t>、合同生效、变更、终止</w:t>
      </w:r>
    </w:p>
    <w:p>
      <w:pPr>
        <w:pStyle w:val="16"/>
        <w:keepNext w:val="0"/>
        <w:keepLines w:val="0"/>
        <w:pageBreakBefore w:val="0"/>
        <w:widowControl w:val="0"/>
        <w:numPr>
          <w:ilvl w:val="0"/>
          <w:numId w:val="17"/>
        </w:numPr>
        <w:kinsoku/>
        <w:wordWrap/>
        <w:overflowPunct/>
        <w:topLinePunct w:val="0"/>
        <w:bidi w:val="0"/>
        <w:snapToGrid/>
        <w:spacing w:line="360" w:lineRule="auto"/>
        <w:ind w:left="420" w:leftChars="0" w:firstLineChars="0"/>
        <w:rPr>
          <w:rFonts w:eastAsia="宋体"/>
          <w:kern w:val="2"/>
          <w:sz w:val="24"/>
          <w:szCs w:val="24"/>
        </w:rPr>
      </w:pPr>
      <w:r>
        <w:rPr>
          <w:rFonts w:hint="eastAsia" w:eastAsia="宋体"/>
          <w:kern w:val="2"/>
          <w:sz w:val="24"/>
          <w:szCs w:val="24"/>
        </w:rPr>
        <w:t>本协议自三方签字并盖章后生效（以最后一方签字盖章之日为准），有效期至</w:t>
      </w:r>
      <w:r>
        <w:rPr>
          <w:rFonts w:hint="eastAsia" w:eastAsia="宋体"/>
          <w:kern w:val="2"/>
          <w:sz w:val="24"/>
          <w:szCs w:val="24"/>
          <w:lang w:eastAsia="zh-CN"/>
        </w:rPr>
        <w:t>甲方</w:t>
      </w:r>
      <w:r>
        <w:rPr>
          <w:rFonts w:hint="eastAsia" w:eastAsia="宋体"/>
          <w:kern w:val="2"/>
          <w:sz w:val="24"/>
          <w:szCs w:val="24"/>
        </w:rPr>
        <w:t>以书面形式通知临床试验结束，并关闭临床试验中心为止。</w:t>
      </w:r>
    </w:p>
    <w:p>
      <w:pPr>
        <w:pStyle w:val="16"/>
        <w:keepNext w:val="0"/>
        <w:keepLines w:val="0"/>
        <w:pageBreakBefore w:val="0"/>
        <w:widowControl w:val="0"/>
        <w:numPr>
          <w:ilvl w:val="0"/>
          <w:numId w:val="17"/>
        </w:numPr>
        <w:kinsoku/>
        <w:wordWrap/>
        <w:overflowPunct/>
        <w:topLinePunct w:val="0"/>
        <w:bidi w:val="0"/>
        <w:snapToGrid/>
        <w:spacing w:line="360" w:lineRule="auto"/>
        <w:ind w:left="420" w:leftChars="0" w:firstLineChars="0"/>
        <w:rPr>
          <w:rFonts w:eastAsia="宋体"/>
          <w:kern w:val="2"/>
          <w:sz w:val="24"/>
          <w:szCs w:val="24"/>
        </w:rPr>
      </w:pPr>
      <w:r>
        <w:rPr>
          <w:rFonts w:eastAsia="宋体"/>
          <w:kern w:val="2"/>
          <w:sz w:val="24"/>
          <w:szCs w:val="24"/>
        </w:rPr>
        <w:t>本协议在没有</w:t>
      </w:r>
      <w:r>
        <w:rPr>
          <w:rFonts w:hint="eastAsia" w:eastAsia="宋体"/>
          <w:kern w:val="2"/>
          <w:sz w:val="24"/>
          <w:szCs w:val="24"/>
        </w:rPr>
        <w:t>三</w:t>
      </w:r>
      <w:r>
        <w:rPr>
          <w:rFonts w:eastAsia="宋体"/>
          <w:kern w:val="2"/>
          <w:sz w:val="24"/>
          <w:szCs w:val="24"/>
        </w:rPr>
        <w:t>方签署的书面许可的情况下，不得做任何变更、增补或修改。</w:t>
      </w:r>
    </w:p>
    <w:p>
      <w:pPr>
        <w:pStyle w:val="16"/>
        <w:keepNext w:val="0"/>
        <w:keepLines w:val="0"/>
        <w:pageBreakBefore w:val="0"/>
        <w:widowControl w:val="0"/>
        <w:numPr>
          <w:ilvl w:val="0"/>
          <w:numId w:val="17"/>
        </w:numPr>
        <w:kinsoku/>
        <w:wordWrap/>
        <w:overflowPunct/>
        <w:topLinePunct w:val="0"/>
        <w:bidi w:val="0"/>
        <w:snapToGrid/>
        <w:spacing w:line="360" w:lineRule="auto"/>
        <w:ind w:left="420" w:leftChars="0" w:firstLineChars="0"/>
        <w:rPr>
          <w:rFonts w:eastAsia="宋体"/>
          <w:kern w:val="2"/>
          <w:sz w:val="24"/>
          <w:szCs w:val="24"/>
        </w:rPr>
      </w:pPr>
      <w:r>
        <w:rPr>
          <w:rFonts w:hint="eastAsia" w:eastAsia="宋体"/>
          <w:kern w:val="2"/>
          <w:sz w:val="24"/>
          <w:szCs w:val="24"/>
        </w:rPr>
        <w:t>若甲方未按本合同规定的时间和金额付款或未按规定的时间提供临床研究用药物及相关设备物资，乙方有权终止合同或将合同规定之完成期限相应顺延。</w:t>
      </w:r>
    </w:p>
    <w:p>
      <w:pPr>
        <w:pStyle w:val="16"/>
        <w:keepNext w:val="0"/>
        <w:keepLines w:val="0"/>
        <w:pageBreakBefore w:val="0"/>
        <w:widowControl w:val="0"/>
        <w:numPr>
          <w:ilvl w:val="0"/>
          <w:numId w:val="17"/>
        </w:numPr>
        <w:kinsoku/>
        <w:wordWrap/>
        <w:overflowPunct/>
        <w:topLinePunct w:val="0"/>
        <w:bidi w:val="0"/>
        <w:snapToGrid/>
        <w:spacing w:line="360" w:lineRule="auto"/>
        <w:ind w:left="420" w:leftChars="0" w:firstLineChars="0"/>
        <w:rPr>
          <w:rFonts w:eastAsia="宋体"/>
          <w:kern w:val="2"/>
          <w:sz w:val="24"/>
          <w:szCs w:val="24"/>
        </w:rPr>
      </w:pPr>
      <w:r>
        <w:rPr>
          <w:rFonts w:hint="eastAsia" w:eastAsia="宋体"/>
          <w:kern w:val="2"/>
          <w:sz w:val="24"/>
          <w:szCs w:val="24"/>
        </w:rPr>
        <w:t>甲方有权随时终止本试验，但应提前一周书面通知乙方、乙方主要研究者和伦理委员会、NMPA，本协议随试验的终止而终止。</w:t>
      </w:r>
    </w:p>
    <w:p>
      <w:pPr>
        <w:pStyle w:val="16"/>
        <w:keepNext w:val="0"/>
        <w:keepLines w:val="0"/>
        <w:pageBreakBefore w:val="0"/>
        <w:widowControl w:val="0"/>
        <w:numPr>
          <w:ilvl w:val="0"/>
          <w:numId w:val="17"/>
        </w:numPr>
        <w:kinsoku/>
        <w:wordWrap/>
        <w:overflowPunct/>
        <w:topLinePunct w:val="0"/>
        <w:bidi w:val="0"/>
        <w:snapToGrid/>
        <w:spacing w:line="360" w:lineRule="auto"/>
        <w:ind w:left="420" w:leftChars="0" w:firstLineChars="0"/>
        <w:rPr>
          <w:rFonts w:eastAsia="宋体"/>
          <w:kern w:val="2"/>
          <w:sz w:val="24"/>
          <w:szCs w:val="24"/>
        </w:rPr>
      </w:pPr>
      <w:r>
        <w:rPr>
          <w:rFonts w:hint="eastAsia" w:eastAsia="宋体"/>
          <w:kern w:val="2"/>
          <w:sz w:val="24"/>
          <w:szCs w:val="24"/>
        </w:rPr>
        <w:t>如因甲方原因提前终止试验，或因不可控因素而无法完成试验，甲方将根据付款协议和付款日程按比例支付试验费用。如果因乙方原因提前终止试验，所付款项金额双方协商解决。</w:t>
      </w:r>
    </w:p>
    <w:p>
      <w:pPr>
        <w:pStyle w:val="16"/>
        <w:keepNext w:val="0"/>
        <w:keepLines w:val="0"/>
        <w:pageBreakBefore w:val="0"/>
        <w:widowControl w:val="0"/>
        <w:numPr>
          <w:ilvl w:val="0"/>
          <w:numId w:val="17"/>
        </w:numPr>
        <w:kinsoku/>
        <w:wordWrap/>
        <w:overflowPunct/>
        <w:topLinePunct w:val="0"/>
        <w:bidi w:val="0"/>
        <w:snapToGrid/>
        <w:spacing w:line="360" w:lineRule="auto"/>
        <w:ind w:left="420" w:leftChars="0" w:firstLineChars="0"/>
        <w:rPr>
          <w:rFonts w:eastAsia="宋体"/>
          <w:kern w:val="2"/>
          <w:sz w:val="24"/>
          <w:szCs w:val="24"/>
        </w:rPr>
      </w:pPr>
      <w:r>
        <w:rPr>
          <w:rFonts w:hint="eastAsia" w:eastAsia="宋体"/>
          <w:kern w:val="2"/>
          <w:sz w:val="24"/>
          <w:szCs w:val="24"/>
        </w:rPr>
        <w:t>任何一方终止本协议不应影响各方在试验终止日期之前应行使的权利和履行的义务。</w:t>
      </w:r>
    </w:p>
    <w:p>
      <w:pPr>
        <w:pStyle w:val="16"/>
        <w:keepNext w:val="0"/>
        <w:keepLines w:val="0"/>
        <w:pageBreakBefore w:val="0"/>
        <w:widowControl w:val="0"/>
        <w:numPr>
          <w:ilvl w:val="0"/>
          <w:numId w:val="17"/>
        </w:numPr>
        <w:kinsoku/>
        <w:wordWrap/>
        <w:overflowPunct/>
        <w:topLinePunct w:val="0"/>
        <w:bidi w:val="0"/>
        <w:snapToGrid/>
        <w:spacing w:line="360" w:lineRule="auto"/>
        <w:ind w:left="420" w:leftChars="0" w:firstLineChars="0"/>
        <w:rPr>
          <w:rFonts w:eastAsia="宋体"/>
          <w:kern w:val="2"/>
          <w:sz w:val="24"/>
          <w:szCs w:val="24"/>
        </w:rPr>
      </w:pPr>
      <w:r>
        <w:rPr>
          <w:rFonts w:hint="eastAsia" w:eastAsia="宋体"/>
          <w:kern w:val="2"/>
          <w:sz w:val="24"/>
          <w:szCs w:val="24"/>
        </w:rPr>
        <w:t>本协议一式</w:t>
      </w:r>
      <w:r>
        <w:rPr>
          <w:rFonts w:hint="eastAsia" w:eastAsia="宋体"/>
          <w:kern w:val="2"/>
          <w:sz w:val="24"/>
          <w:szCs w:val="24"/>
          <w:u w:val="single"/>
        </w:rPr>
        <w:t xml:space="preserve">   </w:t>
      </w:r>
      <w:r>
        <w:rPr>
          <w:rFonts w:hint="eastAsia" w:eastAsia="宋体"/>
          <w:kern w:val="2"/>
          <w:sz w:val="24"/>
          <w:szCs w:val="24"/>
        </w:rPr>
        <w:t>份 ，甲方保留</w:t>
      </w:r>
      <w:r>
        <w:rPr>
          <w:rFonts w:hint="eastAsia" w:eastAsia="宋体"/>
          <w:kern w:val="2"/>
          <w:sz w:val="24"/>
          <w:szCs w:val="24"/>
          <w:u w:val="single"/>
        </w:rPr>
        <w:t xml:space="preserve">   </w:t>
      </w:r>
      <w:r>
        <w:rPr>
          <w:rFonts w:hint="eastAsia" w:eastAsia="宋体"/>
          <w:kern w:val="2"/>
          <w:sz w:val="24"/>
          <w:szCs w:val="24"/>
        </w:rPr>
        <w:t>份，乙方保留</w:t>
      </w:r>
      <w:r>
        <w:rPr>
          <w:rFonts w:hint="eastAsia" w:eastAsia="宋体"/>
          <w:kern w:val="2"/>
          <w:sz w:val="24"/>
          <w:szCs w:val="24"/>
          <w:u w:val="single"/>
        </w:rPr>
        <w:t xml:space="preserve"> 贰 </w:t>
      </w:r>
      <w:r>
        <w:rPr>
          <w:rFonts w:hint="eastAsia" w:eastAsia="宋体"/>
          <w:kern w:val="2"/>
          <w:sz w:val="24"/>
          <w:szCs w:val="24"/>
        </w:rPr>
        <w:t>份，丙方保留</w:t>
      </w:r>
      <w:r>
        <w:rPr>
          <w:rFonts w:hint="eastAsia" w:eastAsia="宋体"/>
          <w:kern w:val="2"/>
          <w:sz w:val="24"/>
          <w:szCs w:val="24"/>
          <w:u w:val="single"/>
        </w:rPr>
        <w:t xml:space="preserve">  </w:t>
      </w:r>
      <w:r>
        <w:rPr>
          <w:rFonts w:hint="eastAsia" w:eastAsia="宋体"/>
          <w:kern w:val="2"/>
          <w:sz w:val="24"/>
          <w:szCs w:val="24"/>
        </w:rPr>
        <w:t>份，</w:t>
      </w:r>
      <w:r>
        <w:rPr>
          <w:rFonts w:eastAsia="宋体"/>
          <w:kern w:val="2"/>
          <w:sz w:val="24"/>
          <w:szCs w:val="24"/>
        </w:rPr>
        <w:t>具有同等的法律效力</w:t>
      </w:r>
      <w:r>
        <w:rPr>
          <w:rFonts w:hint="eastAsia" w:eastAsia="宋体"/>
          <w:kern w:val="2"/>
          <w:sz w:val="24"/>
          <w:szCs w:val="24"/>
        </w:rPr>
        <w:t>。</w:t>
      </w:r>
    </w:p>
    <w:p>
      <w:pPr>
        <w:keepNext w:val="0"/>
        <w:keepLines w:val="0"/>
        <w:pageBreakBefore w:val="0"/>
        <w:widowControl w:val="0"/>
        <w:kinsoku/>
        <w:wordWrap/>
        <w:overflowPunct/>
        <w:topLinePunct w:val="0"/>
        <w:autoSpaceDE/>
        <w:autoSpaceDN/>
        <w:bidi w:val="0"/>
        <w:adjustRightInd w:val="0"/>
        <w:snapToGrid/>
        <w:spacing w:before="156" w:beforeLines="50" w:line="360" w:lineRule="auto"/>
        <w:ind w:left="0" w:leftChars="0"/>
        <w:textAlignment w:val="baseline"/>
        <w:outlineLvl w:val="0"/>
        <w:rPr>
          <w:rFonts w:cs="Arial" w:asciiTheme="minorEastAsia" w:hAnsiTheme="minorEastAsia" w:eastAsiaTheme="minorEastAsia"/>
          <w:b/>
          <w:color w:val="000000"/>
          <w:sz w:val="24"/>
          <w:szCs w:val="24"/>
        </w:rPr>
      </w:pPr>
      <w:r>
        <w:rPr>
          <w:rFonts w:hint="eastAsia" w:cs="Arial" w:asciiTheme="minorEastAsia" w:hAnsiTheme="minorEastAsia" w:eastAsiaTheme="minorEastAsia"/>
          <w:b/>
          <w:color w:val="000000"/>
          <w:sz w:val="24"/>
          <w:szCs w:val="24"/>
        </w:rPr>
        <w:t>十</w:t>
      </w:r>
      <w:r>
        <w:rPr>
          <w:rFonts w:hint="eastAsia" w:cs="Arial" w:asciiTheme="minorEastAsia" w:hAnsiTheme="minorEastAsia" w:eastAsiaTheme="minorEastAsia"/>
          <w:b/>
          <w:color w:val="000000"/>
          <w:sz w:val="24"/>
          <w:szCs w:val="24"/>
          <w:lang w:eastAsia="zh-CN"/>
        </w:rPr>
        <w:t>四</w:t>
      </w:r>
      <w:r>
        <w:rPr>
          <w:rFonts w:hint="eastAsia" w:cs="Arial" w:asciiTheme="minorEastAsia" w:hAnsiTheme="minorEastAsia" w:eastAsiaTheme="minorEastAsia"/>
          <w:b/>
          <w:color w:val="000000"/>
          <w:sz w:val="24"/>
          <w:szCs w:val="24"/>
        </w:rPr>
        <w:t>、争议解决</w:t>
      </w:r>
    </w:p>
    <w:p>
      <w:pPr>
        <w:pStyle w:val="16"/>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425" w:leftChars="0" w:hanging="425" w:firstLineChars="0"/>
        <w:textAlignment w:val="baseline"/>
        <w:rPr>
          <w:rFonts w:eastAsia="宋体"/>
          <w:kern w:val="2"/>
          <w:sz w:val="24"/>
          <w:szCs w:val="24"/>
        </w:rPr>
      </w:pPr>
      <w:r>
        <w:rPr>
          <w:rFonts w:hint="eastAsia" w:eastAsia="宋体"/>
          <w:kern w:val="2"/>
          <w:sz w:val="24"/>
          <w:szCs w:val="24"/>
        </w:rPr>
        <w:t>以上未尽事宜，由各方本着互助的诚意协商解决，或另订书面补充协议，</w:t>
      </w:r>
      <w:r>
        <w:rPr>
          <w:rFonts w:eastAsia="宋体"/>
          <w:kern w:val="2"/>
          <w:sz w:val="24"/>
          <w:szCs w:val="24"/>
        </w:rPr>
        <w:t>补充协议与本协议具有同等法律效力。</w:t>
      </w:r>
    </w:p>
    <w:p>
      <w:pPr>
        <w:pStyle w:val="16"/>
        <w:keepNext w:val="0"/>
        <w:keepLines w:val="0"/>
        <w:pageBreakBefore w:val="0"/>
        <w:widowControl w:val="0"/>
        <w:numPr>
          <w:ilvl w:val="0"/>
          <w:numId w:val="18"/>
        </w:numPr>
        <w:kinsoku/>
        <w:wordWrap/>
        <w:overflowPunct/>
        <w:topLinePunct w:val="0"/>
        <w:autoSpaceDE/>
        <w:autoSpaceDN/>
        <w:bidi w:val="0"/>
        <w:adjustRightInd w:val="0"/>
        <w:snapToGrid/>
        <w:spacing w:line="360" w:lineRule="auto"/>
        <w:ind w:left="425" w:leftChars="0" w:hanging="425" w:firstLineChars="0"/>
        <w:textAlignment w:val="baseline"/>
        <w:rPr>
          <w:rFonts w:ascii="宋体" w:hAnsi="宋体" w:eastAsia="宋体"/>
          <w:sz w:val="24"/>
          <w:szCs w:val="24"/>
        </w:rPr>
      </w:pPr>
      <w:r>
        <w:rPr>
          <w:rFonts w:hint="eastAsia" w:eastAsia="宋体"/>
          <w:kern w:val="2"/>
          <w:sz w:val="24"/>
          <w:szCs w:val="24"/>
        </w:rPr>
        <w:t>各方应信守合同，若有争议，协商解决。经协商仍不能达成一致意见的，任何一方可</w:t>
      </w:r>
      <w:r>
        <w:rPr>
          <w:rFonts w:hint="eastAsia" w:ascii="宋体" w:hAnsi="宋体" w:eastAsia="宋体"/>
          <w:sz w:val="24"/>
          <w:szCs w:val="24"/>
        </w:rPr>
        <w:t>在乙方所在地人民法院提起诉讼</w:t>
      </w:r>
      <w:r>
        <w:rPr>
          <w:rFonts w:ascii="宋体" w:hAnsi="宋体" w:eastAsia="宋体"/>
          <w:sz w:val="24"/>
          <w:szCs w:val="24"/>
        </w:rPr>
        <w:t>。</w:t>
      </w:r>
    </w:p>
    <w:p>
      <w:pPr>
        <w:pStyle w:val="16"/>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baseline"/>
        <w:rPr>
          <w:rFonts w:ascii="宋体" w:hAnsi="宋体" w:eastAsia="宋体"/>
          <w:b/>
          <w:sz w:val="24"/>
          <w:szCs w:val="24"/>
        </w:rPr>
      </w:pPr>
      <w:r>
        <w:rPr>
          <w:rFonts w:hint="eastAsia" w:ascii="宋体" w:hAnsi="宋体" w:eastAsia="宋体"/>
          <w:b/>
          <w:sz w:val="24"/>
          <w:szCs w:val="24"/>
        </w:rPr>
        <w:t>十</w:t>
      </w:r>
      <w:r>
        <w:rPr>
          <w:rFonts w:hint="eastAsia" w:ascii="宋体" w:hAnsi="宋体" w:eastAsia="宋体"/>
          <w:b/>
          <w:sz w:val="24"/>
          <w:szCs w:val="24"/>
          <w:lang w:eastAsia="zh-CN"/>
        </w:rPr>
        <w:t>五</w:t>
      </w:r>
      <w:r>
        <w:rPr>
          <w:rFonts w:hint="eastAsia" w:ascii="宋体" w:hAnsi="宋体" w:eastAsia="宋体"/>
          <w:b/>
          <w:sz w:val="24"/>
          <w:szCs w:val="24"/>
        </w:rPr>
        <w:t>、其他</w:t>
      </w:r>
    </w:p>
    <w:p>
      <w:pPr>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jc w:val="left"/>
        <w:textAlignment w:val="baseline"/>
        <w:outlineLvl w:val="0"/>
        <w:rPr>
          <w:rFonts w:ascii="宋体" w:hAnsi="宋体" w:eastAsia="宋体"/>
          <w:sz w:val="24"/>
          <w:szCs w:val="24"/>
        </w:rPr>
      </w:pPr>
      <w:r>
        <w:rPr>
          <w:rFonts w:hint="eastAsia" w:ascii="宋体" w:hAnsi="宋体" w:eastAsia="宋体"/>
          <w:sz w:val="24"/>
          <w:szCs w:val="24"/>
        </w:rPr>
        <w:t>本协议的终止或到期不影响第五条（知识产权、成果归属与分享）、第七条（保密责任）、第八条（受试者权益保护和赔偿）的效力。</w:t>
      </w:r>
    </w:p>
    <w:p>
      <w:pPr>
        <w:pStyle w:val="16"/>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baseline"/>
        <w:rPr>
          <w:rFonts w:ascii="宋体" w:hAnsi="宋体" w:eastAsia="宋体"/>
          <w:b/>
          <w:sz w:val="24"/>
          <w:szCs w:val="24"/>
        </w:rPr>
      </w:pPr>
      <w:r>
        <w:rPr>
          <w:rFonts w:hint="eastAsia" w:ascii="宋体" w:hAnsi="宋体" w:eastAsia="宋体"/>
          <w:b/>
          <w:sz w:val="24"/>
          <w:szCs w:val="24"/>
        </w:rPr>
        <w:t>十</w:t>
      </w:r>
      <w:r>
        <w:rPr>
          <w:rFonts w:hint="eastAsia" w:ascii="宋体" w:hAnsi="宋体" w:eastAsia="宋体"/>
          <w:b/>
          <w:sz w:val="24"/>
          <w:szCs w:val="24"/>
          <w:lang w:eastAsia="zh-CN"/>
        </w:rPr>
        <w:t>六</w:t>
      </w:r>
      <w:r>
        <w:rPr>
          <w:rFonts w:hint="eastAsia" w:ascii="宋体" w:hAnsi="宋体" w:eastAsia="宋体"/>
          <w:b/>
          <w:sz w:val="24"/>
          <w:szCs w:val="24"/>
        </w:rPr>
        <w:t>、通知条款</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jc w:val="left"/>
        <w:textAlignment w:val="baseline"/>
        <w:outlineLvl w:val="0"/>
        <w:rPr>
          <w:rFonts w:ascii="宋体" w:hAnsi="宋体" w:eastAsia="宋体"/>
          <w:sz w:val="24"/>
          <w:szCs w:val="24"/>
        </w:rPr>
      </w:pPr>
      <w:r>
        <w:rPr>
          <w:rFonts w:hint="eastAsia" w:ascii="宋体" w:hAnsi="宋体" w:eastAsia="宋体"/>
          <w:sz w:val="24"/>
          <w:szCs w:val="24"/>
        </w:rPr>
        <w:t>本合同首部中各方的地址和电话为互相接收信函、通知、材料以及司法机关送达法律文件等的法定送达地址和联系电话，由合同一方变更地址和电话，应提前五日书面通知对方，变更方未及时通知对方的，因此产生的责任和损失应由变更方承担。合同一方及司法机关按约定的地址和电话将信函、通知、材料等以邮件挂号信件、EMS特快专递及短信等方式发出后，即视为履行了通知、送达义务，并产生相应的法律效力。邮政挂号信件、EMS邮件，对方拒收、非本人签收、退回、无法送达等均视为送达并产生送达的法律效力；发出的短信/邮件，自前述电子文件内容在发送方正确填写地址且未被系统退回的情况下，即视为送达。</w:t>
      </w:r>
    </w:p>
    <w:p>
      <w:pPr>
        <w:spacing w:line="580" w:lineRule="exact"/>
        <w:ind w:left="142" w:hanging="141" w:hangingChars="59"/>
        <w:jc w:val="center"/>
        <w:rPr>
          <w:rFonts w:ascii="宋体" w:hAnsi="宋体" w:eastAsia="宋体"/>
          <w:sz w:val="24"/>
          <w:szCs w:val="24"/>
        </w:rPr>
      </w:pPr>
      <w:r>
        <w:rPr>
          <w:rFonts w:hint="eastAsia" w:ascii="宋体" w:hAnsi="宋体" w:eastAsia="宋体"/>
          <w:sz w:val="24"/>
          <w:szCs w:val="24"/>
        </w:rPr>
        <w:t>（以下无正文）</w:t>
      </w:r>
    </w:p>
    <w:p>
      <w:pPr>
        <w:spacing w:line="480" w:lineRule="auto"/>
        <w:jc w:val="center"/>
        <w:rPr>
          <w:rFonts w:cs="宋体" w:asciiTheme="minorEastAsia" w:hAnsiTheme="minorEastAsia" w:eastAsiaTheme="minorEastAsia"/>
          <w:spacing w:val="-7"/>
          <w:szCs w:val="28"/>
        </w:rPr>
      </w:pPr>
    </w:p>
    <w:p>
      <w:pPr>
        <w:widowControl/>
        <w:adjustRightInd/>
        <w:spacing w:line="240" w:lineRule="auto"/>
        <w:jc w:val="left"/>
        <w:textAlignment w:val="auto"/>
        <w:rPr>
          <w:rFonts w:ascii="宋体" w:hAnsi="宋体" w:eastAsia="宋体"/>
          <w:b/>
          <w:sz w:val="32"/>
          <w:szCs w:val="32"/>
        </w:rPr>
      </w:pPr>
      <w:r>
        <w:rPr>
          <w:rFonts w:ascii="宋体" w:hAnsi="宋体" w:eastAsia="宋体"/>
          <w:b/>
          <w:sz w:val="32"/>
          <w:szCs w:val="32"/>
        </w:rPr>
        <w:br w:type="page"/>
      </w:r>
    </w:p>
    <w:p>
      <w:pPr>
        <w:jc w:val="center"/>
        <w:rPr>
          <w:rFonts w:ascii="宋体" w:hAnsi="宋体" w:eastAsia="宋体"/>
          <w:b/>
          <w:sz w:val="32"/>
          <w:szCs w:val="32"/>
        </w:rPr>
      </w:pPr>
      <w:r>
        <w:rPr>
          <w:rFonts w:ascii="宋体" w:hAnsi="宋体" w:eastAsia="宋体"/>
          <w:b/>
          <w:sz w:val="32"/>
          <w:szCs w:val="32"/>
        </w:rPr>
        <w:t>临床试验协议签署页</w:t>
      </w:r>
    </w:p>
    <w:p>
      <w:pPr>
        <w:jc w:val="center"/>
        <w:rPr>
          <w:rFonts w:ascii="宋体" w:hAnsi="宋体" w:eastAsia="宋体"/>
          <w:b/>
          <w:sz w:val="32"/>
          <w:szCs w:val="32"/>
        </w:rPr>
      </w:pPr>
    </w:p>
    <w:p>
      <w:pPr>
        <w:tabs>
          <w:tab w:val="left" w:pos="5235"/>
        </w:tabs>
        <w:spacing w:line="480" w:lineRule="auto"/>
        <w:rPr>
          <w:rFonts w:ascii="宋体" w:hAnsi="宋体" w:eastAsia="宋体"/>
          <w:szCs w:val="28"/>
        </w:rPr>
      </w:pPr>
      <w:r>
        <w:rPr>
          <w:rFonts w:hint="eastAsia" w:ascii="宋体" w:hAnsi="宋体" w:eastAsia="宋体"/>
          <w:szCs w:val="28"/>
        </w:rPr>
        <w:t>甲方</w:t>
      </w:r>
      <w:r>
        <w:rPr>
          <w:rFonts w:ascii="宋体" w:hAnsi="宋体" w:eastAsia="宋体"/>
          <w:szCs w:val="28"/>
        </w:rPr>
        <w:t>：</w:t>
      </w:r>
      <w:r>
        <w:rPr>
          <w:rFonts w:eastAsia="宋体"/>
          <w:szCs w:val="28"/>
        </w:rPr>
        <w:t>XXXXXXXXXXX</w:t>
      </w:r>
      <w:r>
        <w:rPr>
          <w:rFonts w:ascii="宋体" w:hAnsi="宋体" w:eastAsia="宋体"/>
          <w:szCs w:val="28"/>
        </w:rPr>
        <w:t xml:space="preserve">（盖章） </w:t>
      </w:r>
      <w:r>
        <w:rPr>
          <w:rFonts w:ascii="宋体" w:hAnsi="宋体" w:eastAsia="宋体"/>
          <w:szCs w:val="28"/>
        </w:rPr>
        <w:tab/>
      </w:r>
    </w:p>
    <w:p>
      <w:pPr>
        <w:spacing w:line="480" w:lineRule="auto"/>
        <w:rPr>
          <w:rFonts w:ascii="宋体" w:hAnsi="宋体" w:eastAsia="宋体"/>
          <w:szCs w:val="28"/>
        </w:rPr>
      </w:pPr>
      <w:r>
        <w:rPr>
          <w:rFonts w:ascii="宋体" w:hAnsi="宋体" w:eastAsia="宋体"/>
          <w:szCs w:val="28"/>
        </w:rPr>
        <w:t>法定代表人/委托代理人：（签</w:t>
      </w:r>
      <w:r>
        <w:rPr>
          <w:rFonts w:hint="eastAsia" w:ascii="宋体" w:hAnsi="宋体" w:eastAsia="宋体"/>
          <w:szCs w:val="28"/>
        </w:rPr>
        <w:t>字</w:t>
      </w:r>
      <w:r>
        <w:rPr>
          <w:rFonts w:ascii="宋体" w:hAnsi="宋体" w:eastAsia="宋体"/>
          <w:szCs w:val="28"/>
        </w:rPr>
        <w:t>）</w:t>
      </w:r>
    </w:p>
    <w:p>
      <w:pPr>
        <w:spacing w:line="480" w:lineRule="auto"/>
        <w:rPr>
          <w:rFonts w:ascii="宋体" w:hAnsi="宋体" w:eastAsia="宋体"/>
          <w:szCs w:val="28"/>
        </w:rPr>
      </w:pPr>
      <w:r>
        <w:rPr>
          <w:rFonts w:hint="eastAsia" w:ascii="宋体" w:hAnsi="宋体" w:eastAsia="宋体"/>
          <w:szCs w:val="28"/>
        </w:rPr>
        <w:t>日     期：</w:t>
      </w:r>
    </w:p>
    <w:p>
      <w:pPr>
        <w:spacing w:line="480" w:lineRule="auto"/>
        <w:rPr>
          <w:rFonts w:ascii="宋体" w:hAnsi="宋体" w:eastAsia="宋体"/>
          <w:szCs w:val="28"/>
        </w:rPr>
      </w:pPr>
    </w:p>
    <w:p>
      <w:pPr>
        <w:spacing w:line="480" w:lineRule="auto"/>
        <w:rPr>
          <w:rFonts w:ascii="宋体" w:hAnsi="宋体" w:eastAsia="宋体"/>
          <w:szCs w:val="28"/>
        </w:rPr>
      </w:pPr>
      <w:r>
        <w:rPr>
          <w:rFonts w:hint="eastAsia" w:ascii="宋体" w:hAnsi="宋体" w:eastAsia="宋体"/>
          <w:szCs w:val="28"/>
        </w:rPr>
        <w:t>乙方</w:t>
      </w:r>
      <w:r>
        <w:rPr>
          <w:rFonts w:ascii="宋体" w:hAnsi="宋体" w:eastAsia="宋体"/>
          <w:szCs w:val="28"/>
        </w:rPr>
        <w:t>：</w:t>
      </w:r>
      <w:r>
        <w:rPr>
          <w:rFonts w:hint="eastAsia" w:ascii="宋体" w:hAnsi="宋体" w:eastAsia="宋体"/>
          <w:szCs w:val="28"/>
        </w:rPr>
        <w:t>深圳市第三人民医院</w:t>
      </w:r>
      <w:r>
        <w:rPr>
          <w:rFonts w:ascii="宋体" w:hAnsi="宋体" w:eastAsia="宋体"/>
          <w:szCs w:val="28"/>
        </w:rPr>
        <w:t xml:space="preserve">（盖章） </w:t>
      </w:r>
    </w:p>
    <w:p>
      <w:pPr>
        <w:spacing w:line="480" w:lineRule="auto"/>
        <w:rPr>
          <w:rFonts w:ascii="宋体" w:hAnsi="宋体" w:eastAsia="宋体"/>
          <w:szCs w:val="28"/>
        </w:rPr>
      </w:pPr>
      <w:r>
        <w:rPr>
          <w:rFonts w:ascii="宋体" w:hAnsi="宋体" w:eastAsia="宋体"/>
          <w:szCs w:val="28"/>
        </w:rPr>
        <w:t>法定代表人/</w:t>
      </w:r>
      <w:r>
        <w:rPr>
          <w:rFonts w:hint="eastAsia" w:ascii="宋体" w:hAnsi="宋体" w:eastAsia="宋体"/>
          <w:szCs w:val="28"/>
        </w:rPr>
        <w:t>授权代表</w:t>
      </w:r>
      <w:r>
        <w:rPr>
          <w:rFonts w:ascii="宋体" w:hAnsi="宋体" w:eastAsia="宋体"/>
          <w:szCs w:val="28"/>
        </w:rPr>
        <w:t>：（签</w:t>
      </w:r>
      <w:r>
        <w:rPr>
          <w:rFonts w:hint="eastAsia" w:ascii="宋体" w:hAnsi="宋体" w:eastAsia="宋体"/>
          <w:szCs w:val="28"/>
        </w:rPr>
        <w:t>字</w:t>
      </w:r>
      <w:r>
        <w:rPr>
          <w:rFonts w:ascii="宋体" w:hAnsi="宋体" w:eastAsia="宋体"/>
          <w:szCs w:val="28"/>
        </w:rPr>
        <w:t>）</w:t>
      </w:r>
    </w:p>
    <w:p>
      <w:pPr>
        <w:spacing w:line="480" w:lineRule="auto"/>
        <w:rPr>
          <w:rFonts w:ascii="宋体" w:hAnsi="宋体" w:eastAsia="宋体"/>
          <w:szCs w:val="28"/>
        </w:rPr>
      </w:pPr>
      <w:r>
        <w:rPr>
          <w:rFonts w:hint="eastAsia" w:ascii="宋体" w:hAnsi="宋体" w:eastAsia="宋体"/>
          <w:szCs w:val="28"/>
        </w:rPr>
        <w:t>日    期：</w:t>
      </w:r>
    </w:p>
    <w:p>
      <w:pPr>
        <w:spacing w:line="480" w:lineRule="auto"/>
        <w:rPr>
          <w:rFonts w:ascii="宋体" w:hAnsi="宋体" w:eastAsia="宋体"/>
          <w:szCs w:val="28"/>
        </w:rPr>
      </w:pPr>
    </w:p>
    <w:p>
      <w:pPr>
        <w:spacing w:line="480" w:lineRule="auto"/>
        <w:rPr>
          <w:rFonts w:ascii="宋体" w:hAnsi="宋体" w:eastAsia="宋体"/>
          <w:szCs w:val="28"/>
        </w:rPr>
      </w:pPr>
      <w:r>
        <w:rPr>
          <w:rFonts w:hint="eastAsia" w:ascii="宋体" w:hAnsi="宋体" w:eastAsia="宋体"/>
          <w:szCs w:val="28"/>
        </w:rPr>
        <w:t>主要研究者：</w:t>
      </w:r>
      <w:r>
        <w:rPr>
          <w:rFonts w:ascii="宋体" w:hAnsi="宋体" w:eastAsia="宋体"/>
          <w:szCs w:val="28"/>
        </w:rPr>
        <w:t>（签</w:t>
      </w:r>
      <w:r>
        <w:rPr>
          <w:rFonts w:hint="eastAsia" w:ascii="宋体" w:hAnsi="宋体" w:eastAsia="宋体"/>
          <w:szCs w:val="28"/>
        </w:rPr>
        <w:t>字</w:t>
      </w:r>
      <w:r>
        <w:rPr>
          <w:rFonts w:ascii="宋体" w:hAnsi="宋体" w:eastAsia="宋体"/>
          <w:szCs w:val="28"/>
        </w:rPr>
        <w:t>）</w:t>
      </w:r>
    </w:p>
    <w:p>
      <w:pPr>
        <w:spacing w:line="480" w:lineRule="auto"/>
        <w:rPr>
          <w:rFonts w:ascii="宋体" w:hAnsi="宋体" w:eastAsia="宋体"/>
          <w:szCs w:val="28"/>
        </w:rPr>
      </w:pPr>
      <w:r>
        <w:rPr>
          <w:rFonts w:hint="eastAsia" w:ascii="宋体" w:hAnsi="宋体" w:eastAsia="宋体"/>
          <w:szCs w:val="28"/>
        </w:rPr>
        <w:t>日      期：</w:t>
      </w:r>
    </w:p>
    <w:p>
      <w:pPr>
        <w:spacing w:line="480" w:lineRule="auto"/>
        <w:rPr>
          <w:rFonts w:ascii="宋体" w:hAnsi="宋体" w:eastAsia="宋体"/>
          <w:szCs w:val="28"/>
        </w:rPr>
      </w:pPr>
    </w:p>
    <w:p>
      <w:pPr>
        <w:spacing w:line="480" w:lineRule="auto"/>
        <w:rPr>
          <w:rFonts w:ascii="宋体" w:hAnsi="宋体" w:eastAsia="宋体"/>
          <w:szCs w:val="28"/>
        </w:rPr>
      </w:pPr>
      <w:r>
        <w:rPr>
          <w:rFonts w:hint="eastAsia" w:ascii="宋体" w:hAnsi="宋体" w:eastAsia="宋体"/>
          <w:szCs w:val="28"/>
        </w:rPr>
        <w:t>丙方</w:t>
      </w:r>
      <w:r>
        <w:rPr>
          <w:rFonts w:ascii="宋体" w:hAnsi="宋体" w:eastAsia="宋体"/>
          <w:szCs w:val="28"/>
        </w:rPr>
        <w:t>：</w:t>
      </w:r>
      <w:r>
        <w:rPr>
          <w:rFonts w:eastAsia="宋体"/>
          <w:szCs w:val="28"/>
        </w:rPr>
        <w:t>XXXXXXXXXXX</w:t>
      </w:r>
      <w:r>
        <w:rPr>
          <w:rFonts w:ascii="宋体" w:hAnsi="宋体" w:eastAsia="宋体"/>
          <w:szCs w:val="28"/>
        </w:rPr>
        <w:t xml:space="preserve">（盖章） </w:t>
      </w:r>
    </w:p>
    <w:p>
      <w:pPr>
        <w:spacing w:line="480" w:lineRule="auto"/>
        <w:rPr>
          <w:rFonts w:ascii="宋体" w:hAnsi="宋体" w:eastAsia="宋体"/>
          <w:szCs w:val="28"/>
        </w:rPr>
      </w:pPr>
      <w:r>
        <w:rPr>
          <w:rFonts w:ascii="宋体" w:hAnsi="宋体" w:eastAsia="宋体"/>
          <w:szCs w:val="28"/>
        </w:rPr>
        <w:t>法定代表人/委托代理人：（签</w:t>
      </w:r>
      <w:r>
        <w:rPr>
          <w:rFonts w:hint="eastAsia" w:ascii="宋体" w:hAnsi="宋体" w:eastAsia="宋体"/>
          <w:szCs w:val="28"/>
        </w:rPr>
        <w:t>字</w:t>
      </w:r>
      <w:r>
        <w:rPr>
          <w:rFonts w:ascii="宋体" w:hAnsi="宋体" w:eastAsia="宋体"/>
          <w:szCs w:val="28"/>
        </w:rPr>
        <w:t>）</w:t>
      </w:r>
    </w:p>
    <w:p>
      <w:pPr>
        <w:spacing w:line="480" w:lineRule="auto"/>
        <w:rPr>
          <w:rFonts w:ascii="宋体" w:hAnsi="宋体" w:eastAsia="宋体"/>
          <w:szCs w:val="28"/>
        </w:rPr>
      </w:pPr>
      <w:r>
        <w:rPr>
          <w:rFonts w:hint="eastAsia" w:ascii="宋体" w:hAnsi="宋体" w:eastAsia="宋体"/>
          <w:szCs w:val="28"/>
        </w:rPr>
        <w:t>日     期：</w:t>
      </w:r>
    </w:p>
    <w:p>
      <w:pPr>
        <w:widowControl/>
        <w:adjustRightInd/>
        <w:spacing w:line="240" w:lineRule="auto"/>
        <w:jc w:val="left"/>
        <w:textAlignment w:val="auto"/>
        <w:rPr>
          <w:rFonts w:ascii="宋体" w:hAnsi="宋体" w:eastAsia="宋体"/>
          <w:szCs w:val="28"/>
        </w:rPr>
      </w:pPr>
      <w:r>
        <w:rPr>
          <w:rFonts w:ascii="宋体" w:hAnsi="宋体" w:eastAsia="宋体"/>
          <w:szCs w:val="28"/>
        </w:rPr>
        <w:br w:type="page"/>
      </w:r>
    </w:p>
    <w:p>
      <w:pPr>
        <w:rPr>
          <w:szCs w:val="28"/>
        </w:rPr>
      </w:pPr>
      <w:r>
        <w:rPr>
          <w:rFonts w:hint="eastAsia" w:asciiTheme="majorEastAsia" w:hAnsiTheme="majorEastAsia" w:eastAsiaTheme="majorEastAsia"/>
          <w:szCs w:val="28"/>
        </w:rPr>
        <w:t>附件1：研究费用</w:t>
      </w:r>
      <w:r>
        <w:rPr>
          <w:rFonts w:hint="eastAsia" w:asciiTheme="majorEastAsia" w:hAnsiTheme="majorEastAsia" w:eastAsiaTheme="majorEastAsia"/>
          <w:color w:val="FF0000"/>
          <w:szCs w:val="28"/>
        </w:rPr>
        <w:t>（根据项目具体内容增减）</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4"/>
        <w:gridCol w:w="1965"/>
        <w:gridCol w:w="984"/>
        <w:gridCol w:w="822"/>
        <w:gridCol w:w="989"/>
        <w:gridCol w:w="987"/>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11" w:type="pct"/>
          </w:tcPr>
          <w:p>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r>
              <w:rPr>
                <w:rFonts w:hint="eastAsia" w:ascii="宋体" w:hAnsi="宋体" w:eastAsia="宋体" w:cs="宋体"/>
                <w:bCs/>
                <w:sz w:val="21"/>
                <w:szCs w:val="21"/>
              </w:rPr>
              <w:t>预算条目</w:t>
            </w:r>
          </w:p>
        </w:tc>
        <w:tc>
          <w:tcPr>
            <w:tcW w:w="997" w:type="pct"/>
          </w:tcPr>
          <w:p>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r>
              <w:rPr>
                <w:rFonts w:hint="eastAsia" w:ascii="宋体" w:hAnsi="宋体" w:eastAsia="宋体" w:cs="宋体"/>
                <w:sz w:val="21"/>
                <w:szCs w:val="21"/>
              </w:rPr>
              <w:t>明细</w:t>
            </w:r>
          </w:p>
        </w:tc>
        <w:tc>
          <w:tcPr>
            <w:tcW w:w="499" w:type="pct"/>
          </w:tcPr>
          <w:p>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r>
              <w:rPr>
                <w:rFonts w:hint="eastAsia" w:ascii="宋体" w:hAnsi="宋体" w:eastAsia="宋体" w:cs="宋体"/>
                <w:sz w:val="21"/>
                <w:szCs w:val="21"/>
              </w:rPr>
              <w:t>元/例</w:t>
            </w:r>
          </w:p>
        </w:tc>
        <w:tc>
          <w:tcPr>
            <w:tcW w:w="417" w:type="pct"/>
          </w:tcPr>
          <w:p>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r>
              <w:rPr>
                <w:rFonts w:hint="eastAsia" w:ascii="宋体" w:hAnsi="宋体" w:eastAsia="宋体" w:cs="宋体"/>
                <w:sz w:val="21"/>
                <w:szCs w:val="21"/>
              </w:rPr>
              <w:t>例数</w:t>
            </w:r>
          </w:p>
        </w:tc>
        <w:tc>
          <w:tcPr>
            <w:tcW w:w="502" w:type="pct"/>
          </w:tcPr>
          <w:p>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r>
              <w:rPr>
                <w:rFonts w:hint="eastAsia" w:ascii="宋体" w:hAnsi="宋体" w:eastAsia="宋体" w:cs="宋体"/>
                <w:sz w:val="21"/>
                <w:szCs w:val="21"/>
              </w:rPr>
              <w:t>小计</w:t>
            </w:r>
          </w:p>
        </w:tc>
        <w:tc>
          <w:tcPr>
            <w:tcW w:w="500" w:type="pct"/>
          </w:tcPr>
          <w:p>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r>
              <w:rPr>
                <w:rFonts w:hint="eastAsia" w:ascii="宋体" w:hAnsi="宋体" w:eastAsia="宋体" w:cs="宋体"/>
                <w:sz w:val="21"/>
                <w:szCs w:val="21"/>
              </w:rPr>
              <w:t>管理费20%</w:t>
            </w:r>
          </w:p>
        </w:tc>
        <w:tc>
          <w:tcPr>
            <w:tcW w:w="774" w:type="pct"/>
          </w:tcPr>
          <w:p>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r>
              <w:rPr>
                <w:rFonts w:hint="eastAsia" w:ascii="宋体" w:hAnsi="宋体" w:eastAsia="宋体" w:cs="宋体"/>
                <w:sz w:val="21"/>
                <w:szCs w:val="21"/>
              </w:rPr>
              <w:t>含税合计</w:t>
            </w:r>
          </w:p>
          <w:p>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r>
              <w:rPr>
                <w:rFonts w:hint="eastAsia" w:ascii="宋体" w:hAnsi="宋体" w:eastAsia="宋体" w:cs="宋体"/>
                <w:sz w:val="21"/>
                <w:szCs w:val="21"/>
              </w:rPr>
              <w:t>（×1.0672）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11" w:type="pct"/>
            <w:vMerge w:val="restart"/>
            <w:vAlign w:val="center"/>
          </w:tcPr>
          <w:p>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r>
              <w:rPr>
                <w:rFonts w:hint="eastAsia" w:ascii="宋体" w:hAnsi="宋体" w:eastAsia="宋体" w:cs="宋体"/>
                <w:sz w:val="21"/>
                <w:szCs w:val="21"/>
              </w:rPr>
              <w:t>研究者观察费</w:t>
            </w:r>
          </w:p>
        </w:tc>
        <w:tc>
          <w:tcPr>
            <w:tcW w:w="997"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r>
              <w:rPr>
                <w:rFonts w:hint="eastAsia" w:ascii="宋体" w:hAnsi="宋体" w:eastAsia="宋体" w:cs="宋体"/>
                <w:sz w:val="21"/>
                <w:szCs w:val="21"/>
              </w:rPr>
              <w:t>临床观察费</w:t>
            </w:r>
          </w:p>
        </w:tc>
        <w:tc>
          <w:tcPr>
            <w:tcW w:w="499"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417"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2"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0"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774"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1" w:type="pct"/>
            <w:vMerge w:val="continue"/>
          </w:tcPr>
          <w:p>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p>
        </w:tc>
        <w:tc>
          <w:tcPr>
            <w:tcW w:w="997"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r>
              <w:rPr>
                <w:rFonts w:hint="eastAsia" w:ascii="宋体" w:hAnsi="宋体" w:eastAsia="宋体" w:cs="宋体"/>
                <w:sz w:val="21"/>
                <w:szCs w:val="21"/>
              </w:rPr>
              <w:t>PK采血费</w:t>
            </w:r>
          </w:p>
        </w:tc>
        <w:tc>
          <w:tcPr>
            <w:tcW w:w="499"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417"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2"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0"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774"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1" w:type="pct"/>
            <w:vMerge w:val="continue"/>
          </w:tcPr>
          <w:p>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p>
        </w:tc>
        <w:tc>
          <w:tcPr>
            <w:tcW w:w="997"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r>
              <w:rPr>
                <w:rFonts w:hint="eastAsia" w:ascii="宋体" w:hAnsi="宋体" w:eastAsia="宋体" w:cs="宋体"/>
                <w:sz w:val="21"/>
                <w:szCs w:val="21"/>
              </w:rPr>
              <w:t>生物样本管理费</w:t>
            </w:r>
          </w:p>
        </w:tc>
        <w:tc>
          <w:tcPr>
            <w:tcW w:w="499"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417"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2"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0"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774"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1" w:type="pct"/>
            <w:vMerge w:val="continue"/>
          </w:tcPr>
          <w:p>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p>
        </w:tc>
        <w:tc>
          <w:tcPr>
            <w:tcW w:w="997"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r>
              <w:rPr>
                <w:rFonts w:hint="eastAsia" w:ascii="宋体" w:hAnsi="宋体" w:eastAsia="宋体" w:cs="宋体"/>
                <w:sz w:val="21"/>
                <w:szCs w:val="21"/>
              </w:rPr>
              <w:t>药物发放回收费</w:t>
            </w:r>
          </w:p>
        </w:tc>
        <w:tc>
          <w:tcPr>
            <w:tcW w:w="499"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417"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2"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0"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774"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1" w:type="pct"/>
            <w:vMerge w:val="continue"/>
          </w:tcPr>
          <w:p>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p>
        </w:tc>
        <w:tc>
          <w:tcPr>
            <w:tcW w:w="997"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r>
              <w:rPr>
                <w:rFonts w:hint="eastAsia" w:ascii="宋体" w:hAnsi="宋体" w:eastAsia="宋体" w:cs="宋体"/>
                <w:sz w:val="21"/>
                <w:szCs w:val="21"/>
              </w:rPr>
              <w:t>病理切片费</w:t>
            </w:r>
          </w:p>
        </w:tc>
        <w:tc>
          <w:tcPr>
            <w:tcW w:w="499"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417"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2"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0"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774"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1" w:type="pct"/>
            <w:vMerge w:val="continue"/>
          </w:tcPr>
          <w:p>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p>
        </w:tc>
        <w:tc>
          <w:tcPr>
            <w:tcW w:w="997"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r>
              <w:rPr>
                <w:rFonts w:hint="eastAsia" w:ascii="宋体" w:hAnsi="宋体" w:eastAsia="宋体" w:cs="宋体"/>
                <w:sz w:val="21"/>
                <w:szCs w:val="21"/>
              </w:rPr>
              <w:t>影像评估费</w:t>
            </w:r>
          </w:p>
        </w:tc>
        <w:tc>
          <w:tcPr>
            <w:tcW w:w="499"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417"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2"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0"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774"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1" w:type="pct"/>
            <w:vMerge w:val="continue"/>
          </w:tcPr>
          <w:p>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p>
        </w:tc>
        <w:tc>
          <w:tcPr>
            <w:tcW w:w="997"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r>
              <w:rPr>
                <w:rFonts w:hint="default" w:ascii="宋体" w:hAnsi="宋体" w:eastAsia="宋体" w:cs="宋体"/>
                <w:sz w:val="21"/>
                <w:szCs w:val="21"/>
              </w:rPr>
              <w:t>……</w:t>
            </w:r>
          </w:p>
        </w:tc>
        <w:tc>
          <w:tcPr>
            <w:tcW w:w="499"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417"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2"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0"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774"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1" w:type="pct"/>
          </w:tcPr>
          <w:p>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r>
              <w:rPr>
                <w:rFonts w:hint="eastAsia" w:ascii="宋体" w:hAnsi="宋体" w:eastAsia="宋体" w:cs="宋体"/>
                <w:sz w:val="21"/>
                <w:szCs w:val="21"/>
              </w:rPr>
              <w:t>受试者检验检查费</w:t>
            </w:r>
          </w:p>
        </w:tc>
        <w:tc>
          <w:tcPr>
            <w:tcW w:w="997"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499"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417"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2"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0"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774"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1" w:type="pct"/>
          </w:tcPr>
          <w:p>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r>
              <w:rPr>
                <w:rFonts w:hint="eastAsia" w:ascii="宋体" w:hAnsi="宋体" w:eastAsia="宋体" w:cs="宋体"/>
                <w:sz w:val="21"/>
                <w:szCs w:val="21"/>
              </w:rPr>
              <w:t>受试者补偿费</w:t>
            </w:r>
          </w:p>
        </w:tc>
        <w:tc>
          <w:tcPr>
            <w:tcW w:w="997"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499"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417"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2"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0"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r>
              <w:rPr>
                <w:rFonts w:hint="eastAsia" w:ascii="宋体" w:hAnsi="宋体" w:eastAsia="宋体" w:cs="宋体"/>
                <w:sz w:val="21"/>
                <w:szCs w:val="21"/>
              </w:rPr>
              <w:t>—</w:t>
            </w:r>
          </w:p>
        </w:tc>
        <w:tc>
          <w:tcPr>
            <w:tcW w:w="774"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1" w:type="pct"/>
          </w:tcPr>
          <w:p>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r>
              <w:rPr>
                <w:rFonts w:hint="eastAsia" w:ascii="宋体" w:hAnsi="宋体" w:eastAsia="宋体" w:cs="宋体"/>
                <w:sz w:val="21"/>
                <w:szCs w:val="21"/>
              </w:rPr>
              <w:t>立项审查费</w:t>
            </w:r>
          </w:p>
        </w:tc>
        <w:tc>
          <w:tcPr>
            <w:tcW w:w="2415" w:type="pct"/>
            <w:gridSpan w:val="4"/>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0"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774"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11" w:type="pct"/>
          </w:tcPr>
          <w:p>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r>
              <w:rPr>
                <w:rFonts w:hint="eastAsia" w:ascii="宋体" w:hAnsi="宋体" w:eastAsia="宋体" w:cs="宋体"/>
                <w:sz w:val="21"/>
                <w:szCs w:val="21"/>
              </w:rPr>
              <w:t>机构质控费</w:t>
            </w:r>
          </w:p>
        </w:tc>
        <w:tc>
          <w:tcPr>
            <w:tcW w:w="2415" w:type="pct"/>
            <w:gridSpan w:val="4"/>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0"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774"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11" w:type="pct"/>
          </w:tcPr>
          <w:p>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r>
              <w:rPr>
                <w:rFonts w:hint="eastAsia" w:ascii="宋体" w:hAnsi="宋体" w:eastAsia="宋体" w:cs="宋体"/>
                <w:sz w:val="21"/>
                <w:szCs w:val="21"/>
              </w:rPr>
              <w:t>药物基本管理费</w:t>
            </w:r>
          </w:p>
        </w:tc>
        <w:tc>
          <w:tcPr>
            <w:tcW w:w="2415" w:type="pct"/>
            <w:gridSpan w:val="4"/>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0"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774"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311" w:type="pct"/>
          </w:tcPr>
          <w:p>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r>
              <w:rPr>
                <w:rFonts w:hint="eastAsia" w:ascii="宋体" w:hAnsi="宋体" w:eastAsia="宋体" w:cs="宋体"/>
                <w:sz w:val="21"/>
                <w:szCs w:val="21"/>
              </w:rPr>
              <w:t>档案管理费</w:t>
            </w:r>
          </w:p>
        </w:tc>
        <w:tc>
          <w:tcPr>
            <w:tcW w:w="2415" w:type="pct"/>
            <w:gridSpan w:val="4"/>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0"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774"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311" w:type="pct"/>
          </w:tcPr>
          <w:p>
            <w:pPr>
              <w:keepNext w:val="0"/>
              <w:keepLines w:val="0"/>
              <w:suppressLineNumbers w:val="0"/>
              <w:adjustRightIn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遗传办协办费</w:t>
            </w:r>
          </w:p>
        </w:tc>
        <w:tc>
          <w:tcPr>
            <w:tcW w:w="2415" w:type="pct"/>
            <w:gridSpan w:val="4"/>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0"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774"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311" w:type="pct"/>
          </w:tcPr>
          <w:p>
            <w:pPr>
              <w:keepNext w:val="0"/>
              <w:keepLines w:val="0"/>
              <w:suppressLineNumbers w:val="0"/>
              <w:adjustRightIn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样本处理费</w:t>
            </w:r>
          </w:p>
        </w:tc>
        <w:tc>
          <w:tcPr>
            <w:tcW w:w="2415" w:type="pct"/>
            <w:gridSpan w:val="4"/>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0"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774"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311" w:type="pct"/>
          </w:tcPr>
          <w:p>
            <w:pPr>
              <w:keepNext w:val="0"/>
              <w:keepLines w:val="0"/>
              <w:suppressLineNumbers w:val="0"/>
              <w:adjustRightInd/>
              <w:spacing w:before="0" w:beforeAutospacing="0" w:after="0" w:afterAutospacing="0" w:line="36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其他：</w:t>
            </w:r>
          </w:p>
        </w:tc>
        <w:tc>
          <w:tcPr>
            <w:tcW w:w="2415" w:type="pct"/>
            <w:gridSpan w:val="4"/>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501"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c>
          <w:tcPr>
            <w:tcW w:w="774" w:type="pct"/>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311" w:type="pct"/>
          </w:tcPr>
          <w:p>
            <w:pPr>
              <w:keepNext w:val="0"/>
              <w:keepLines w:val="0"/>
              <w:suppressLineNumbers w:val="0"/>
              <w:adjustRightInd/>
              <w:spacing w:before="0" w:beforeAutospacing="0" w:after="0" w:afterAutospacing="0" w:line="360" w:lineRule="auto"/>
              <w:ind w:left="0" w:right="0"/>
              <w:jc w:val="center"/>
              <w:textAlignment w:val="auto"/>
              <w:rPr>
                <w:rFonts w:hint="default" w:ascii="宋体" w:hAnsi="宋体" w:eastAsia="宋体" w:cs="宋体"/>
                <w:sz w:val="21"/>
                <w:szCs w:val="21"/>
              </w:rPr>
            </w:pPr>
            <w:r>
              <w:rPr>
                <w:rFonts w:hint="eastAsia" w:ascii="宋体" w:hAnsi="宋体" w:eastAsia="宋体" w:cs="宋体"/>
                <w:sz w:val="21"/>
                <w:szCs w:val="21"/>
              </w:rPr>
              <w:t>含税合计</w:t>
            </w:r>
          </w:p>
        </w:tc>
        <w:tc>
          <w:tcPr>
            <w:tcW w:w="3689" w:type="pct"/>
            <w:gridSpan w:val="6"/>
          </w:tcPr>
          <w:p>
            <w:pPr>
              <w:keepNext w:val="0"/>
              <w:keepLines w:val="0"/>
              <w:suppressLineNumbers w:val="0"/>
              <w:adjustRightInd/>
              <w:spacing w:before="0" w:beforeAutospacing="0" w:after="0" w:afterAutospacing="0" w:line="360" w:lineRule="auto"/>
              <w:ind w:left="0" w:right="0"/>
              <w:jc w:val="left"/>
              <w:textAlignment w:val="auto"/>
              <w:rPr>
                <w:rFonts w:hint="default" w:ascii="宋体" w:hAnsi="宋体" w:eastAsia="宋体" w:cs="宋体"/>
                <w:sz w:val="21"/>
                <w:szCs w:val="21"/>
              </w:rPr>
            </w:pPr>
          </w:p>
        </w:tc>
      </w:tr>
    </w:tbl>
    <w:p/>
    <w:p>
      <w:pPr>
        <w:rPr>
          <w:rFonts w:asciiTheme="majorEastAsia" w:hAnsiTheme="majorEastAsia" w:eastAsiaTheme="majorEastAsia"/>
          <w:sz w:val="30"/>
          <w:szCs w:val="30"/>
        </w:rPr>
      </w:pPr>
      <w:r>
        <w:rPr>
          <w:rFonts w:hint="eastAsia" w:asciiTheme="majorEastAsia" w:hAnsiTheme="majorEastAsia" w:eastAsiaTheme="majorEastAsia"/>
          <w:sz w:val="30"/>
          <w:szCs w:val="30"/>
        </w:rPr>
        <w:t>附件2：受试者检验检查费明细</w:t>
      </w:r>
      <w:r>
        <w:rPr>
          <w:rFonts w:hint="eastAsia" w:asciiTheme="majorEastAsia" w:hAnsiTheme="majorEastAsia" w:eastAsiaTheme="majorEastAsia"/>
          <w:color w:val="FF0000"/>
          <w:sz w:val="30"/>
          <w:szCs w:val="30"/>
        </w:rPr>
        <w:t>（请列表格说明）</w:t>
      </w:r>
    </w:p>
    <w:p/>
    <w:p/>
    <w:p>
      <w:pPr>
        <w:rPr>
          <w:rFonts w:asciiTheme="majorEastAsia" w:hAnsiTheme="majorEastAsia" w:eastAsiaTheme="majorEastAsia"/>
          <w:sz w:val="30"/>
          <w:szCs w:val="30"/>
        </w:rPr>
      </w:pPr>
      <w:r>
        <w:rPr>
          <w:rFonts w:hint="eastAsia" w:asciiTheme="majorEastAsia" w:hAnsiTheme="majorEastAsia" w:eastAsiaTheme="majorEastAsia"/>
          <w:sz w:val="30"/>
          <w:szCs w:val="30"/>
        </w:rPr>
        <w:t>附件3：受试者补偿费明细</w:t>
      </w:r>
      <w:r>
        <w:rPr>
          <w:rFonts w:hint="eastAsia" w:asciiTheme="majorEastAsia" w:hAnsiTheme="majorEastAsia" w:eastAsiaTheme="majorEastAsia"/>
          <w:color w:val="FF0000"/>
          <w:sz w:val="30"/>
          <w:szCs w:val="30"/>
        </w:rPr>
        <w:t>（请列表格说明）</w:t>
      </w:r>
    </w:p>
    <w:p>
      <w:pPr>
        <w:rPr>
          <w:rFonts w:asciiTheme="majorEastAsia" w:hAnsiTheme="majorEastAsia" w:eastAsiaTheme="majorEastAsia"/>
          <w:sz w:val="30"/>
          <w:szCs w:val="30"/>
        </w:rPr>
      </w:pPr>
    </w:p>
    <w:p>
      <w:pPr>
        <w:rPr>
          <w:rFonts w:asciiTheme="majorEastAsia" w:hAnsiTheme="majorEastAsia" w:eastAsiaTheme="majorEastAsia"/>
          <w:sz w:val="30"/>
          <w:szCs w:val="30"/>
        </w:rPr>
      </w:pPr>
    </w:p>
    <w:p>
      <w:pPr>
        <w:rPr>
          <w:sz w:val="30"/>
          <w:szCs w:val="30"/>
        </w:rPr>
      </w:pPr>
      <w:r>
        <w:rPr>
          <w:rFonts w:hint="eastAsia" w:asciiTheme="majorEastAsia" w:hAnsiTheme="majorEastAsia" w:eastAsiaTheme="majorEastAsia"/>
          <w:sz w:val="30"/>
          <w:szCs w:val="30"/>
        </w:rPr>
        <w:t>附件4：临床观察费明细</w:t>
      </w:r>
      <w:r>
        <w:rPr>
          <w:rFonts w:hint="eastAsia" w:asciiTheme="majorEastAsia" w:hAnsiTheme="majorEastAsia" w:eastAsiaTheme="majorEastAsia"/>
          <w:color w:val="FF0000"/>
          <w:sz w:val="30"/>
          <w:szCs w:val="30"/>
        </w:rPr>
        <w:t>（请列表格说明）</w:t>
      </w:r>
    </w:p>
    <w:p/>
    <w:sectPr>
      <w:headerReference r:id="rId5" w:type="default"/>
      <w:footerReference r:id="rId6" w:type="default"/>
      <w:pgSz w:w="11906" w:h="16838"/>
      <w:pgMar w:top="1417" w:right="1133" w:bottom="1417" w:left="113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94883"/>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hint="default" w:eastAsia="仿宋_GB2312"/>
        <w:lang w:val="en-US" w:eastAsia="zh-CN"/>
      </w:rPr>
    </w:pPr>
    <w:r>
      <w:rPr>
        <w:rFonts w:hint="eastAsia"/>
      </w:rPr>
      <w:drawing>
        <wp:anchor distT="0" distB="0" distL="114300" distR="114300" simplePos="0" relativeHeight="251659264" behindDoc="0" locked="0" layoutInCell="1" allowOverlap="1">
          <wp:simplePos x="0" y="0"/>
          <wp:positionH relativeFrom="column">
            <wp:posOffset>601980</wp:posOffset>
          </wp:positionH>
          <wp:positionV relativeFrom="paragraph">
            <wp:posOffset>-13335</wp:posOffset>
          </wp:positionV>
          <wp:extent cx="521970" cy="52197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21970" cy="521970"/>
                  </a:xfrm>
                  <a:prstGeom prst="rect">
                    <a:avLst/>
                  </a:prstGeom>
                  <a:noFill/>
                  <a:ln>
                    <a:noFill/>
                  </a:ln>
                </pic:spPr>
              </pic:pic>
            </a:graphicData>
          </a:graphic>
        </wp:anchor>
      </w:drawing>
    </w:r>
    <w:r>
      <w:rPr>
        <w:rFonts w:hint="eastAsia"/>
      </w:rPr>
      <w:t xml:space="preserve"> </w:t>
    </w:r>
    <w:r>
      <w:drawing>
        <wp:inline distT="0" distB="0" distL="114300" distR="114300">
          <wp:extent cx="555625" cy="520065"/>
          <wp:effectExtent l="0" t="0" r="15875" b="1333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2"/>
                  <a:stretch>
                    <a:fillRect/>
                  </a:stretch>
                </pic:blipFill>
                <pic:spPr>
                  <a:xfrm>
                    <a:off x="0" y="0"/>
                    <a:ext cx="555625" cy="520065"/>
                  </a:xfrm>
                  <a:prstGeom prst="rect">
                    <a:avLst/>
                  </a:prstGeom>
                  <a:noFill/>
                  <a:ln>
                    <a:noFill/>
                  </a:ln>
                </pic:spPr>
              </pic:pic>
            </a:graphicData>
          </a:graphic>
        </wp:inline>
      </w:drawing>
    </w:r>
    <w:r>
      <w:rPr>
        <w:rFonts w:hint="eastAsia"/>
      </w:rPr>
      <w:t xml:space="preserve">           </w:t>
    </w:r>
    <w:r>
      <w:drawing>
        <wp:inline distT="0" distB="0" distL="114300" distR="114300">
          <wp:extent cx="0" cy="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3"/>
                  <a:stretch>
                    <a:fillRect/>
                  </a:stretch>
                </pic:blipFill>
                <pic:spPr>
                  <a:xfrm>
                    <a:off x="0" y="0"/>
                    <a:ext cx="0" cy="0"/>
                  </a:xfrm>
                  <a:prstGeom prst="rect">
                    <a:avLst/>
                  </a:prstGeom>
                  <a:noFill/>
                  <a:ln>
                    <a:noFill/>
                  </a:ln>
                </pic:spPr>
              </pic:pic>
            </a:graphicData>
          </a:graphic>
        </wp:inline>
      </w:drawing>
    </w:r>
    <w:r>
      <w:drawing>
        <wp:inline distT="0" distB="0" distL="114300" distR="114300">
          <wp:extent cx="0" cy="0"/>
          <wp:effectExtent l="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3"/>
                  <a:stretch>
                    <a:fillRect/>
                  </a:stretch>
                </pic:blipFill>
                <pic:spPr>
                  <a:xfrm>
                    <a:off x="0" y="0"/>
                    <a:ext cx="0" cy="0"/>
                  </a:xfrm>
                  <a:prstGeom prst="rect">
                    <a:avLst/>
                  </a:prstGeom>
                  <a:noFill/>
                  <a:ln>
                    <a:noFill/>
                  </a:ln>
                </pic:spPr>
              </pic:pic>
            </a:graphicData>
          </a:graphic>
        </wp:inline>
      </w:drawing>
    </w:r>
    <w:r>
      <w:rPr>
        <w:rFonts w:hint="eastAsia"/>
      </w:rPr>
      <w:t xml:space="preserve">    </w:t>
    </w:r>
    <w:r>
      <w:drawing>
        <wp:inline distT="0" distB="0" distL="114300" distR="114300">
          <wp:extent cx="0" cy="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0" cy="0"/>
                  </a:xfrm>
                  <a:prstGeom prst="rect">
                    <a:avLst/>
                  </a:prstGeom>
                  <a:noFill/>
                  <a:ln>
                    <a:noFill/>
                  </a:ln>
                </pic:spPr>
              </pic:pic>
            </a:graphicData>
          </a:graphic>
        </wp:inline>
      </w:drawing>
    </w:r>
    <w:r>
      <w:rPr>
        <w:rFonts w:hint="eastAsia"/>
      </w:rPr>
      <w:t xml:space="preserve"> </w:t>
    </w:r>
    <w:r>
      <w:drawing>
        <wp:inline distT="0" distB="0" distL="114300" distR="114300">
          <wp:extent cx="0" cy="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stretch>
                    <a:fillRect/>
                  </a:stretch>
                </pic:blipFill>
                <pic:spPr>
                  <a:xfrm>
                    <a:off x="0" y="0"/>
                    <a:ext cx="0" cy="0"/>
                  </a:xfrm>
                  <a:prstGeom prst="rect">
                    <a:avLst/>
                  </a:prstGeom>
                  <a:noFill/>
                  <a:ln>
                    <a:noFill/>
                  </a:ln>
                </pic:spPr>
              </pic:pic>
            </a:graphicData>
          </a:graphic>
        </wp:inline>
      </w:drawing>
    </w:r>
    <w:r>
      <w:rPr>
        <w:rFonts w:hint="eastAsia"/>
      </w:rPr>
      <w:t xml:space="preserve">                                               药物临床试验协议 V</w:t>
    </w:r>
    <w:r>
      <w:rPr>
        <w:rFonts w:hint="eastAsia"/>
        <w:lang w:val="en-US" w:eastAsia="zh-CN"/>
      </w:rPr>
      <w:t>2.1</w:t>
    </w:r>
    <w:r>
      <w:rPr>
        <w:rFonts w:hint="eastAsia"/>
      </w:rPr>
      <w:t>/202</w:t>
    </w:r>
    <w:r>
      <w:rPr>
        <w:rFonts w:hint="eastAsia"/>
        <w:lang w:val="en-US" w:eastAsia="zh-CN"/>
      </w:rPr>
      <w:t>4.02.20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FC8BC"/>
    <w:multiLevelType w:val="multilevel"/>
    <w:tmpl w:val="A2FFC8BC"/>
    <w:lvl w:ilvl="0" w:tentative="0">
      <w:start w:val="1"/>
      <w:numFmt w:val="decimal"/>
      <w:lvlText w:val="%1."/>
      <w:lvlJc w:val="left"/>
      <w:pPr>
        <w:tabs>
          <w:tab w:val="left" w:pos="420"/>
        </w:tabs>
        <w:ind w:left="840" w:hanging="420"/>
      </w:pPr>
      <w:rPr>
        <w:rFonts w:hint="eastAsia"/>
      </w:r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abstractNum w:abstractNumId="1">
    <w:nsid w:val="A9AEA8A6"/>
    <w:multiLevelType w:val="singleLevel"/>
    <w:tmpl w:val="A9AEA8A6"/>
    <w:lvl w:ilvl="0" w:tentative="0">
      <w:start w:val="1"/>
      <w:numFmt w:val="decimal"/>
      <w:lvlText w:val="(%1)"/>
      <w:lvlJc w:val="left"/>
      <w:pPr>
        <w:ind w:left="425" w:hanging="425"/>
      </w:pPr>
      <w:rPr>
        <w:rFonts w:hint="default"/>
      </w:rPr>
    </w:lvl>
  </w:abstractNum>
  <w:abstractNum w:abstractNumId="2">
    <w:nsid w:val="B62B50B6"/>
    <w:multiLevelType w:val="singleLevel"/>
    <w:tmpl w:val="B62B50B6"/>
    <w:lvl w:ilvl="0" w:tentative="0">
      <w:start w:val="1"/>
      <w:numFmt w:val="decimal"/>
      <w:lvlText w:val="(%1)"/>
      <w:lvlJc w:val="left"/>
      <w:pPr>
        <w:ind w:left="425" w:hanging="425"/>
      </w:pPr>
      <w:rPr>
        <w:rFonts w:hint="default"/>
      </w:rPr>
    </w:lvl>
  </w:abstractNum>
  <w:abstractNum w:abstractNumId="3">
    <w:nsid w:val="B9D4C8D7"/>
    <w:multiLevelType w:val="singleLevel"/>
    <w:tmpl w:val="B9D4C8D7"/>
    <w:lvl w:ilvl="0" w:tentative="0">
      <w:start w:val="1"/>
      <w:numFmt w:val="decimal"/>
      <w:lvlText w:val="(%1)"/>
      <w:lvlJc w:val="left"/>
      <w:pPr>
        <w:ind w:left="425" w:hanging="425"/>
      </w:pPr>
      <w:rPr>
        <w:rFonts w:hint="default"/>
      </w:rPr>
    </w:lvl>
  </w:abstractNum>
  <w:abstractNum w:abstractNumId="4">
    <w:nsid w:val="E18CE3DB"/>
    <w:multiLevelType w:val="multilevel"/>
    <w:tmpl w:val="E18CE3DB"/>
    <w:lvl w:ilvl="0" w:tentative="0">
      <w:start w:val="1"/>
      <w:numFmt w:val="decimal"/>
      <w:lvlText w:val="%1."/>
      <w:lvlJc w:val="left"/>
      <w:pPr>
        <w:ind w:left="425" w:hanging="425"/>
      </w:pPr>
      <w:rPr>
        <w:rFonts w:hint="default"/>
        <w:color w:val="auto"/>
      </w:rPr>
    </w:lvl>
    <w:lvl w:ilvl="1" w:tentative="0">
      <w:start w:val="1"/>
      <w:numFmt w:val="decimal"/>
      <w:lvlText w:val="(%2)"/>
      <w:lvlJc w:val="left"/>
      <w:pPr>
        <w:tabs>
          <w:tab w:val="left" w:pos="840"/>
        </w:tabs>
        <w:ind w:left="840" w:leftChars="0" w:hanging="420" w:firstLineChars="0"/>
      </w:pPr>
      <w:rPr>
        <w:rFonts w:hint="default"/>
        <w:color w:val="auto"/>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5">
    <w:nsid w:val="04351FC6"/>
    <w:multiLevelType w:val="multilevel"/>
    <w:tmpl w:val="04351FC6"/>
    <w:lvl w:ilvl="0" w:tentative="0">
      <w:start w:val="1"/>
      <w:numFmt w:val="decimal"/>
      <w:lvlText w:val="%1."/>
      <w:lvlJc w:val="left"/>
      <w:pPr>
        <w:ind w:left="1980" w:hanging="7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0BB439D7"/>
    <w:multiLevelType w:val="multilevel"/>
    <w:tmpl w:val="0BB439D7"/>
    <w:lvl w:ilvl="0" w:tentative="0">
      <w:start w:val="1"/>
      <w:numFmt w:val="decimal"/>
      <w:lvlText w:val="%1."/>
      <w:lvlJc w:val="left"/>
      <w:pPr>
        <w:tabs>
          <w:tab w:val="left" w:pos="420"/>
        </w:tabs>
        <w:ind w:left="840" w:hanging="420"/>
      </w:pPr>
      <w:rPr>
        <w:rFonts w:hint="default"/>
        <w:color w:val="auto"/>
      </w:r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abstractNum w:abstractNumId="7">
    <w:nsid w:val="14135EFA"/>
    <w:multiLevelType w:val="multilevel"/>
    <w:tmpl w:val="14135EF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689EB8A"/>
    <w:multiLevelType w:val="singleLevel"/>
    <w:tmpl w:val="1689EB8A"/>
    <w:lvl w:ilvl="0" w:tentative="0">
      <w:start w:val="1"/>
      <w:numFmt w:val="decimal"/>
      <w:lvlText w:val="%1."/>
      <w:lvlJc w:val="left"/>
      <w:pPr>
        <w:ind w:left="425" w:hanging="425"/>
      </w:pPr>
      <w:rPr>
        <w:rFonts w:hint="default"/>
      </w:rPr>
    </w:lvl>
  </w:abstractNum>
  <w:abstractNum w:abstractNumId="9">
    <w:nsid w:val="38A83645"/>
    <w:multiLevelType w:val="multilevel"/>
    <w:tmpl w:val="38A83645"/>
    <w:lvl w:ilvl="0" w:tentative="0">
      <w:start w:val="1"/>
      <w:numFmt w:val="decimal"/>
      <w:lvlText w:val="%1."/>
      <w:lvlJc w:val="left"/>
      <w:pPr>
        <w:tabs>
          <w:tab w:val="left" w:pos="420"/>
        </w:tabs>
        <w:ind w:left="840" w:hanging="420"/>
      </w:pPr>
      <w:rPr>
        <w:rFonts w:hint="default"/>
        <w:b w:val="0"/>
        <w:bCs w:val="0"/>
      </w:r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abstractNum w:abstractNumId="10">
    <w:nsid w:val="495D2B31"/>
    <w:multiLevelType w:val="multilevel"/>
    <w:tmpl w:val="495D2B31"/>
    <w:lvl w:ilvl="0" w:tentative="0">
      <w:start w:val="1"/>
      <w:numFmt w:val="decimal"/>
      <w:lvlText w:val="%1."/>
      <w:lvlJc w:val="left"/>
      <w:pPr>
        <w:tabs>
          <w:tab w:val="left" w:pos="420"/>
        </w:tabs>
        <w:ind w:left="840" w:hanging="420"/>
      </w:pPr>
      <w:rPr>
        <w:rFonts w:hint="eastAsia"/>
      </w:rPr>
    </w:lvl>
    <w:lvl w:ilvl="1" w:tentative="0">
      <w:start w:val="1"/>
      <w:numFmt w:val="decimalEnclosedCircle"/>
      <w:lvlText w:val="%2"/>
      <w:lvlJc w:val="left"/>
      <w:pPr>
        <w:tabs>
          <w:tab w:val="left" w:pos="420"/>
        </w:tabs>
        <w:ind w:left="1200" w:hanging="360"/>
      </w:pPr>
      <w:rPr>
        <w:rFonts w:hint="default" w:eastAsia="仿宋_GB2312"/>
      </w:r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abstractNum w:abstractNumId="11">
    <w:nsid w:val="4B04060C"/>
    <w:multiLevelType w:val="singleLevel"/>
    <w:tmpl w:val="4B04060C"/>
    <w:lvl w:ilvl="0" w:tentative="0">
      <w:start w:val="1"/>
      <w:numFmt w:val="decimal"/>
      <w:lvlText w:val="%1."/>
      <w:lvlJc w:val="left"/>
      <w:pPr>
        <w:ind w:left="425" w:hanging="425"/>
      </w:pPr>
      <w:rPr>
        <w:rFonts w:hint="default"/>
      </w:rPr>
    </w:lvl>
  </w:abstractNum>
  <w:abstractNum w:abstractNumId="12">
    <w:nsid w:val="503134C7"/>
    <w:multiLevelType w:val="multilevel"/>
    <w:tmpl w:val="503134C7"/>
    <w:lvl w:ilvl="0" w:tentative="0">
      <w:start w:val="1"/>
      <w:numFmt w:val="decimal"/>
      <w:lvlText w:val="%1."/>
      <w:lvlJc w:val="left"/>
      <w:pPr>
        <w:tabs>
          <w:tab w:val="left" w:pos="420"/>
        </w:tabs>
        <w:ind w:left="1260" w:hanging="420"/>
      </w:pPr>
    </w:lvl>
    <w:lvl w:ilvl="1" w:tentative="0">
      <w:start w:val="1"/>
      <w:numFmt w:val="lowerLetter"/>
      <w:lvlText w:val="%2)"/>
      <w:lvlJc w:val="left"/>
      <w:pPr>
        <w:tabs>
          <w:tab w:val="left" w:pos="420"/>
        </w:tabs>
        <w:ind w:left="1680" w:hanging="420"/>
      </w:pPr>
    </w:lvl>
    <w:lvl w:ilvl="2" w:tentative="0">
      <w:start w:val="1"/>
      <w:numFmt w:val="lowerRoman"/>
      <w:lvlText w:val="%3."/>
      <w:lvlJc w:val="right"/>
      <w:pPr>
        <w:tabs>
          <w:tab w:val="left" w:pos="420"/>
        </w:tabs>
        <w:ind w:left="2100" w:hanging="420"/>
      </w:pPr>
    </w:lvl>
    <w:lvl w:ilvl="3" w:tentative="0">
      <w:start w:val="1"/>
      <w:numFmt w:val="decimal"/>
      <w:lvlText w:val="%4."/>
      <w:lvlJc w:val="left"/>
      <w:pPr>
        <w:tabs>
          <w:tab w:val="left" w:pos="420"/>
        </w:tabs>
        <w:ind w:left="2520" w:hanging="420"/>
      </w:pPr>
    </w:lvl>
    <w:lvl w:ilvl="4" w:tentative="0">
      <w:start w:val="1"/>
      <w:numFmt w:val="lowerLetter"/>
      <w:lvlText w:val="%5)"/>
      <w:lvlJc w:val="left"/>
      <w:pPr>
        <w:tabs>
          <w:tab w:val="left" w:pos="420"/>
        </w:tabs>
        <w:ind w:left="2940" w:hanging="420"/>
      </w:pPr>
    </w:lvl>
    <w:lvl w:ilvl="5" w:tentative="0">
      <w:start w:val="1"/>
      <w:numFmt w:val="lowerRoman"/>
      <w:lvlText w:val="%6."/>
      <w:lvlJc w:val="right"/>
      <w:pPr>
        <w:tabs>
          <w:tab w:val="left" w:pos="420"/>
        </w:tabs>
        <w:ind w:left="3360" w:hanging="420"/>
      </w:pPr>
    </w:lvl>
    <w:lvl w:ilvl="6" w:tentative="0">
      <w:start w:val="1"/>
      <w:numFmt w:val="decimal"/>
      <w:lvlText w:val="%7."/>
      <w:lvlJc w:val="left"/>
      <w:pPr>
        <w:tabs>
          <w:tab w:val="left" w:pos="420"/>
        </w:tabs>
        <w:ind w:left="3780" w:hanging="420"/>
      </w:pPr>
    </w:lvl>
    <w:lvl w:ilvl="7" w:tentative="0">
      <w:start w:val="1"/>
      <w:numFmt w:val="lowerLetter"/>
      <w:lvlText w:val="%8)"/>
      <w:lvlJc w:val="left"/>
      <w:pPr>
        <w:tabs>
          <w:tab w:val="left" w:pos="420"/>
        </w:tabs>
        <w:ind w:left="4200" w:hanging="420"/>
      </w:pPr>
    </w:lvl>
    <w:lvl w:ilvl="8" w:tentative="0">
      <w:start w:val="1"/>
      <w:numFmt w:val="lowerRoman"/>
      <w:lvlText w:val="%9."/>
      <w:lvlJc w:val="right"/>
      <w:pPr>
        <w:tabs>
          <w:tab w:val="left" w:pos="420"/>
        </w:tabs>
        <w:ind w:left="4620" w:hanging="420"/>
      </w:pPr>
    </w:lvl>
  </w:abstractNum>
  <w:abstractNum w:abstractNumId="13">
    <w:nsid w:val="5A6B6B33"/>
    <w:multiLevelType w:val="singleLevel"/>
    <w:tmpl w:val="5A6B6B33"/>
    <w:lvl w:ilvl="0" w:tentative="0">
      <w:start w:val="1"/>
      <w:numFmt w:val="decimal"/>
      <w:lvlText w:val="(%1)"/>
      <w:lvlJc w:val="left"/>
      <w:pPr>
        <w:tabs>
          <w:tab w:val="left" w:pos="0"/>
        </w:tabs>
        <w:ind w:left="425" w:hanging="425"/>
      </w:pPr>
      <w:rPr>
        <w:rFonts w:hint="default"/>
      </w:rPr>
    </w:lvl>
  </w:abstractNum>
  <w:abstractNum w:abstractNumId="14">
    <w:nsid w:val="6E4769F0"/>
    <w:multiLevelType w:val="multilevel"/>
    <w:tmpl w:val="6E4769F0"/>
    <w:lvl w:ilvl="0" w:tentative="0">
      <w:start w:val="1"/>
      <w:numFmt w:val="decimal"/>
      <w:lvlText w:val="%1."/>
      <w:lvlJc w:val="left"/>
      <w:pPr>
        <w:tabs>
          <w:tab w:val="left" w:pos="420"/>
        </w:tabs>
        <w:ind w:left="840" w:hanging="420"/>
      </w:pPr>
      <w:rPr>
        <w:rFonts w:hint="eastAsia"/>
      </w:r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abstractNum w:abstractNumId="15">
    <w:nsid w:val="79EB36BD"/>
    <w:multiLevelType w:val="singleLevel"/>
    <w:tmpl w:val="79EB36BD"/>
    <w:lvl w:ilvl="0" w:tentative="0">
      <w:start w:val="1"/>
      <w:numFmt w:val="decimal"/>
      <w:lvlText w:val="%1."/>
      <w:lvlJc w:val="left"/>
      <w:pPr>
        <w:ind w:left="425" w:hanging="425"/>
      </w:pPr>
      <w:rPr>
        <w:rFonts w:hint="default"/>
      </w:rPr>
    </w:lvl>
  </w:abstractNum>
  <w:abstractNum w:abstractNumId="16">
    <w:nsid w:val="7D865117"/>
    <w:multiLevelType w:val="multilevel"/>
    <w:tmpl w:val="7D865117"/>
    <w:lvl w:ilvl="0" w:tentative="0">
      <w:start w:val="1"/>
      <w:numFmt w:val="decimal"/>
      <w:lvlText w:val="%1."/>
      <w:lvlJc w:val="left"/>
      <w:pPr>
        <w:tabs>
          <w:tab w:val="left" w:pos="420"/>
        </w:tabs>
        <w:ind w:left="1260" w:hanging="420"/>
      </w:pPr>
    </w:lvl>
    <w:lvl w:ilvl="1" w:tentative="0">
      <w:start w:val="1"/>
      <w:numFmt w:val="lowerLetter"/>
      <w:lvlText w:val="%2)"/>
      <w:lvlJc w:val="left"/>
      <w:pPr>
        <w:tabs>
          <w:tab w:val="left" w:pos="420"/>
        </w:tabs>
        <w:ind w:left="1680" w:hanging="420"/>
      </w:pPr>
    </w:lvl>
    <w:lvl w:ilvl="2" w:tentative="0">
      <w:start w:val="1"/>
      <w:numFmt w:val="lowerRoman"/>
      <w:lvlText w:val="%3."/>
      <w:lvlJc w:val="right"/>
      <w:pPr>
        <w:tabs>
          <w:tab w:val="left" w:pos="420"/>
        </w:tabs>
        <w:ind w:left="2100" w:hanging="420"/>
      </w:pPr>
    </w:lvl>
    <w:lvl w:ilvl="3" w:tentative="0">
      <w:start w:val="1"/>
      <w:numFmt w:val="decimal"/>
      <w:lvlText w:val="%4."/>
      <w:lvlJc w:val="left"/>
      <w:pPr>
        <w:tabs>
          <w:tab w:val="left" w:pos="420"/>
        </w:tabs>
        <w:ind w:left="2520" w:hanging="420"/>
      </w:pPr>
    </w:lvl>
    <w:lvl w:ilvl="4" w:tentative="0">
      <w:start w:val="1"/>
      <w:numFmt w:val="lowerLetter"/>
      <w:lvlText w:val="%5)"/>
      <w:lvlJc w:val="left"/>
      <w:pPr>
        <w:tabs>
          <w:tab w:val="left" w:pos="420"/>
        </w:tabs>
        <w:ind w:left="2940" w:hanging="420"/>
      </w:pPr>
    </w:lvl>
    <w:lvl w:ilvl="5" w:tentative="0">
      <w:start w:val="1"/>
      <w:numFmt w:val="lowerRoman"/>
      <w:lvlText w:val="%6."/>
      <w:lvlJc w:val="right"/>
      <w:pPr>
        <w:tabs>
          <w:tab w:val="left" w:pos="420"/>
        </w:tabs>
        <w:ind w:left="3360" w:hanging="420"/>
      </w:pPr>
    </w:lvl>
    <w:lvl w:ilvl="6" w:tentative="0">
      <w:start w:val="1"/>
      <w:numFmt w:val="decimal"/>
      <w:lvlText w:val="%7."/>
      <w:lvlJc w:val="left"/>
      <w:pPr>
        <w:tabs>
          <w:tab w:val="left" w:pos="420"/>
        </w:tabs>
        <w:ind w:left="3780" w:hanging="420"/>
      </w:pPr>
    </w:lvl>
    <w:lvl w:ilvl="7" w:tentative="0">
      <w:start w:val="1"/>
      <w:numFmt w:val="lowerLetter"/>
      <w:lvlText w:val="%8)"/>
      <w:lvlJc w:val="left"/>
      <w:pPr>
        <w:tabs>
          <w:tab w:val="left" w:pos="420"/>
        </w:tabs>
        <w:ind w:left="4200" w:hanging="420"/>
      </w:pPr>
    </w:lvl>
    <w:lvl w:ilvl="8" w:tentative="0">
      <w:start w:val="1"/>
      <w:numFmt w:val="lowerRoman"/>
      <w:lvlText w:val="%9."/>
      <w:lvlJc w:val="right"/>
      <w:pPr>
        <w:tabs>
          <w:tab w:val="left" w:pos="420"/>
        </w:tabs>
        <w:ind w:left="4620" w:hanging="420"/>
      </w:pPr>
    </w:lvl>
  </w:abstractNum>
  <w:abstractNum w:abstractNumId="17">
    <w:nsid w:val="7F45580C"/>
    <w:multiLevelType w:val="multilevel"/>
    <w:tmpl w:val="7F45580C"/>
    <w:lvl w:ilvl="0" w:tentative="0">
      <w:start w:val="1"/>
      <w:numFmt w:val="decimal"/>
      <w:lvlText w:val="%1."/>
      <w:lvlJc w:val="left"/>
      <w:pPr>
        <w:tabs>
          <w:tab w:val="left" w:pos="420"/>
        </w:tabs>
        <w:ind w:left="840" w:hanging="420"/>
      </w:pPr>
      <w:rPr>
        <w:rFonts w:hint="eastAsia"/>
      </w:r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num w:numId="1">
    <w:abstractNumId w:val="8"/>
  </w:num>
  <w:num w:numId="2">
    <w:abstractNumId w:val="12"/>
  </w:num>
  <w:num w:numId="3">
    <w:abstractNumId w:val="5"/>
  </w:num>
  <w:num w:numId="4">
    <w:abstractNumId w:val="7"/>
  </w:num>
  <w:num w:numId="5">
    <w:abstractNumId w:val="13"/>
  </w:num>
  <w:num w:numId="6">
    <w:abstractNumId w:val="4"/>
  </w:num>
  <w:num w:numId="7">
    <w:abstractNumId w:val="16"/>
  </w:num>
  <w:num w:numId="8">
    <w:abstractNumId w:val="11"/>
  </w:num>
  <w:num w:numId="9">
    <w:abstractNumId w:val="9"/>
  </w:num>
  <w:num w:numId="10">
    <w:abstractNumId w:val="17"/>
  </w:num>
  <w:num w:numId="11">
    <w:abstractNumId w:val="2"/>
  </w:num>
  <w:num w:numId="12">
    <w:abstractNumId w:val="0"/>
  </w:num>
  <w:num w:numId="13">
    <w:abstractNumId w:val="6"/>
  </w:num>
  <w:num w:numId="14">
    <w:abstractNumId w:val="10"/>
  </w:num>
  <w:num w:numId="15">
    <w:abstractNumId w:val="3"/>
  </w:num>
  <w:num w:numId="16">
    <w:abstractNumId w:val="1"/>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NzdkNzgyNTAxZDc5YjE3YjdmMjdkZjJkYjdjYmYifQ=="/>
  </w:docVars>
  <w:rsids>
    <w:rsidRoot w:val="00BD2DC2"/>
    <w:rsid w:val="0000014D"/>
    <w:rsid w:val="00010E8C"/>
    <w:rsid w:val="000116BB"/>
    <w:rsid w:val="00013BAC"/>
    <w:rsid w:val="00022FE3"/>
    <w:rsid w:val="000276A2"/>
    <w:rsid w:val="000313FD"/>
    <w:rsid w:val="000403A6"/>
    <w:rsid w:val="000443AD"/>
    <w:rsid w:val="00046EEC"/>
    <w:rsid w:val="00047899"/>
    <w:rsid w:val="0005136E"/>
    <w:rsid w:val="00052E74"/>
    <w:rsid w:val="0005536B"/>
    <w:rsid w:val="00055934"/>
    <w:rsid w:val="0005612A"/>
    <w:rsid w:val="00056D01"/>
    <w:rsid w:val="00061C97"/>
    <w:rsid w:val="00083165"/>
    <w:rsid w:val="00095FD7"/>
    <w:rsid w:val="000B0A23"/>
    <w:rsid w:val="000B19E3"/>
    <w:rsid w:val="000B7A06"/>
    <w:rsid w:val="000C47CF"/>
    <w:rsid w:val="000C694D"/>
    <w:rsid w:val="000C7712"/>
    <w:rsid w:val="000D0BE8"/>
    <w:rsid w:val="000D0F5F"/>
    <w:rsid w:val="000D3D3D"/>
    <w:rsid w:val="000D556C"/>
    <w:rsid w:val="000E3FCD"/>
    <w:rsid w:val="000F51F7"/>
    <w:rsid w:val="000F5F27"/>
    <w:rsid w:val="000F7102"/>
    <w:rsid w:val="000F7894"/>
    <w:rsid w:val="00105C0E"/>
    <w:rsid w:val="0011162F"/>
    <w:rsid w:val="00117D8D"/>
    <w:rsid w:val="001204CD"/>
    <w:rsid w:val="0012320B"/>
    <w:rsid w:val="0012532D"/>
    <w:rsid w:val="00125AE1"/>
    <w:rsid w:val="0013462A"/>
    <w:rsid w:val="001356F5"/>
    <w:rsid w:val="0013777E"/>
    <w:rsid w:val="001403CD"/>
    <w:rsid w:val="001508BF"/>
    <w:rsid w:val="00156C92"/>
    <w:rsid w:val="00160667"/>
    <w:rsid w:val="00162A35"/>
    <w:rsid w:val="00167165"/>
    <w:rsid w:val="001734CE"/>
    <w:rsid w:val="0018039B"/>
    <w:rsid w:val="00186B90"/>
    <w:rsid w:val="00190127"/>
    <w:rsid w:val="00191605"/>
    <w:rsid w:val="00193551"/>
    <w:rsid w:val="00194C57"/>
    <w:rsid w:val="00195505"/>
    <w:rsid w:val="00197D11"/>
    <w:rsid w:val="001A2788"/>
    <w:rsid w:val="001A596C"/>
    <w:rsid w:val="001A6C3F"/>
    <w:rsid w:val="001B5E11"/>
    <w:rsid w:val="001D7B1C"/>
    <w:rsid w:val="001E0E8A"/>
    <w:rsid w:val="001E5F84"/>
    <w:rsid w:val="00202613"/>
    <w:rsid w:val="00202D5F"/>
    <w:rsid w:val="00225295"/>
    <w:rsid w:val="00226AB2"/>
    <w:rsid w:val="0023021E"/>
    <w:rsid w:val="00230FFF"/>
    <w:rsid w:val="0023298B"/>
    <w:rsid w:val="0023333E"/>
    <w:rsid w:val="002349C0"/>
    <w:rsid w:val="002453D9"/>
    <w:rsid w:val="00257656"/>
    <w:rsid w:val="002576CD"/>
    <w:rsid w:val="00260334"/>
    <w:rsid w:val="002627BB"/>
    <w:rsid w:val="00272BF8"/>
    <w:rsid w:val="00275CC4"/>
    <w:rsid w:val="00282E64"/>
    <w:rsid w:val="00284D3C"/>
    <w:rsid w:val="00291B97"/>
    <w:rsid w:val="002A0C3F"/>
    <w:rsid w:val="002A36ED"/>
    <w:rsid w:val="002A6F02"/>
    <w:rsid w:val="002B3E09"/>
    <w:rsid w:val="002B5DA9"/>
    <w:rsid w:val="002B7F32"/>
    <w:rsid w:val="002C680A"/>
    <w:rsid w:val="002D77AF"/>
    <w:rsid w:val="002E01B6"/>
    <w:rsid w:val="002E3763"/>
    <w:rsid w:val="002E3B92"/>
    <w:rsid w:val="002E6153"/>
    <w:rsid w:val="002E740B"/>
    <w:rsid w:val="002E7854"/>
    <w:rsid w:val="002E78FD"/>
    <w:rsid w:val="002F08C5"/>
    <w:rsid w:val="002F4FB7"/>
    <w:rsid w:val="003048D6"/>
    <w:rsid w:val="00305C21"/>
    <w:rsid w:val="00307A9C"/>
    <w:rsid w:val="00307B49"/>
    <w:rsid w:val="003224DB"/>
    <w:rsid w:val="00322ADA"/>
    <w:rsid w:val="00326917"/>
    <w:rsid w:val="00327FC9"/>
    <w:rsid w:val="00330078"/>
    <w:rsid w:val="00337A03"/>
    <w:rsid w:val="003424A1"/>
    <w:rsid w:val="00347838"/>
    <w:rsid w:val="00352325"/>
    <w:rsid w:val="003561B6"/>
    <w:rsid w:val="00356FA5"/>
    <w:rsid w:val="00362BAF"/>
    <w:rsid w:val="00367642"/>
    <w:rsid w:val="00371519"/>
    <w:rsid w:val="00371DD9"/>
    <w:rsid w:val="00393EA0"/>
    <w:rsid w:val="003A0EFE"/>
    <w:rsid w:val="003B60AA"/>
    <w:rsid w:val="003C26EE"/>
    <w:rsid w:val="003C3D07"/>
    <w:rsid w:val="003D4978"/>
    <w:rsid w:val="003E1916"/>
    <w:rsid w:val="003E4AFD"/>
    <w:rsid w:val="003F0C41"/>
    <w:rsid w:val="003F2B89"/>
    <w:rsid w:val="003F7C2C"/>
    <w:rsid w:val="004002F4"/>
    <w:rsid w:val="00401C3B"/>
    <w:rsid w:val="004046E5"/>
    <w:rsid w:val="00407B92"/>
    <w:rsid w:val="0041336B"/>
    <w:rsid w:val="0041504F"/>
    <w:rsid w:val="0042398F"/>
    <w:rsid w:val="00425B97"/>
    <w:rsid w:val="00434132"/>
    <w:rsid w:val="0044483D"/>
    <w:rsid w:val="00450AEC"/>
    <w:rsid w:val="0045484D"/>
    <w:rsid w:val="004724AB"/>
    <w:rsid w:val="00472EE8"/>
    <w:rsid w:val="004740B7"/>
    <w:rsid w:val="0048077E"/>
    <w:rsid w:val="00481ABC"/>
    <w:rsid w:val="00494198"/>
    <w:rsid w:val="0049478A"/>
    <w:rsid w:val="004B5A16"/>
    <w:rsid w:val="004B694B"/>
    <w:rsid w:val="004C4161"/>
    <w:rsid w:val="004D013B"/>
    <w:rsid w:val="004D060A"/>
    <w:rsid w:val="004D0E36"/>
    <w:rsid w:val="004D314D"/>
    <w:rsid w:val="004D45C6"/>
    <w:rsid w:val="004D6032"/>
    <w:rsid w:val="004D69C8"/>
    <w:rsid w:val="004E0784"/>
    <w:rsid w:val="004E36CE"/>
    <w:rsid w:val="004E50CE"/>
    <w:rsid w:val="004E5D72"/>
    <w:rsid w:val="004F01E1"/>
    <w:rsid w:val="004F0A80"/>
    <w:rsid w:val="004F7BB0"/>
    <w:rsid w:val="00502565"/>
    <w:rsid w:val="00510314"/>
    <w:rsid w:val="00513B8C"/>
    <w:rsid w:val="00514ABB"/>
    <w:rsid w:val="005166EB"/>
    <w:rsid w:val="00517332"/>
    <w:rsid w:val="005223CC"/>
    <w:rsid w:val="00531BC0"/>
    <w:rsid w:val="00537AE7"/>
    <w:rsid w:val="00550397"/>
    <w:rsid w:val="00557C7A"/>
    <w:rsid w:val="00563179"/>
    <w:rsid w:val="005642CE"/>
    <w:rsid w:val="005840BF"/>
    <w:rsid w:val="0058671C"/>
    <w:rsid w:val="005A1D9B"/>
    <w:rsid w:val="005A2D77"/>
    <w:rsid w:val="005B4BD5"/>
    <w:rsid w:val="005B5270"/>
    <w:rsid w:val="005C1F72"/>
    <w:rsid w:val="005C486E"/>
    <w:rsid w:val="005C78AB"/>
    <w:rsid w:val="005D075D"/>
    <w:rsid w:val="005D73C4"/>
    <w:rsid w:val="005D7EE1"/>
    <w:rsid w:val="005F1399"/>
    <w:rsid w:val="00603FA7"/>
    <w:rsid w:val="00617E6D"/>
    <w:rsid w:val="00620367"/>
    <w:rsid w:val="0062062C"/>
    <w:rsid w:val="006210DF"/>
    <w:rsid w:val="00631CFD"/>
    <w:rsid w:val="006336BC"/>
    <w:rsid w:val="006340E3"/>
    <w:rsid w:val="0063410E"/>
    <w:rsid w:val="00642CA6"/>
    <w:rsid w:val="00644EF0"/>
    <w:rsid w:val="00645513"/>
    <w:rsid w:val="006471E6"/>
    <w:rsid w:val="006515BE"/>
    <w:rsid w:val="00653802"/>
    <w:rsid w:val="00653C55"/>
    <w:rsid w:val="006562DE"/>
    <w:rsid w:val="0066354A"/>
    <w:rsid w:val="00663A24"/>
    <w:rsid w:val="00665927"/>
    <w:rsid w:val="006775CE"/>
    <w:rsid w:val="006818FF"/>
    <w:rsid w:val="006844FC"/>
    <w:rsid w:val="00694FB2"/>
    <w:rsid w:val="006A3EC2"/>
    <w:rsid w:val="006B0FA2"/>
    <w:rsid w:val="006B6773"/>
    <w:rsid w:val="006B76D0"/>
    <w:rsid w:val="006C0E9E"/>
    <w:rsid w:val="006C2F5E"/>
    <w:rsid w:val="006C5A81"/>
    <w:rsid w:val="006D12B9"/>
    <w:rsid w:val="006D19F9"/>
    <w:rsid w:val="006D468D"/>
    <w:rsid w:val="006D5738"/>
    <w:rsid w:val="006E5FB9"/>
    <w:rsid w:val="006E7F33"/>
    <w:rsid w:val="006F2324"/>
    <w:rsid w:val="00702736"/>
    <w:rsid w:val="007066F8"/>
    <w:rsid w:val="0071064E"/>
    <w:rsid w:val="00712DAC"/>
    <w:rsid w:val="007156E3"/>
    <w:rsid w:val="00716C2C"/>
    <w:rsid w:val="0071753F"/>
    <w:rsid w:val="00731C68"/>
    <w:rsid w:val="00735866"/>
    <w:rsid w:val="007407B4"/>
    <w:rsid w:val="00740BE5"/>
    <w:rsid w:val="007461C1"/>
    <w:rsid w:val="00746F92"/>
    <w:rsid w:val="00750BDA"/>
    <w:rsid w:val="007518D0"/>
    <w:rsid w:val="00757C07"/>
    <w:rsid w:val="007610BE"/>
    <w:rsid w:val="00764359"/>
    <w:rsid w:val="007719A6"/>
    <w:rsid w:val="00773666"/>
    <w:rsid w:val="00775747"/>
    <w:rsid w:val="007808DC"/>
    <w:rsid w:val="0078433D"/>
    <w:rsid w:val="0079641E"/>
    <w:rsid w:val="007A1AB4"/>
    <w:rsid w:val="007A287D"/>
    <w:rsid w:val="007A3E1C"/>
    <w:rsid w:val="007A59CE"/>
    <w:rsid w:val="007A6165"/>
    <w:rsid w:val="007B5AF4"/>
    <w:rsid w:val="007B6137"/>
    <w:rsid w:val="007C18B0"/>
    <w:rsid w:val="007C3E7F"/>
    <w:rsid w:val="007D0567"/>
    <w:rsid w:val="007E3C46"/>
    <w:rsid w:val="007E3DF2"/>
    <w:rsid w:val="007E5EC1"/>
    <w:rsid w:val="007F2432"/>
    <w:rsid w:val="007F62C9"/>
    <w:rsid w:val="00810F6A"/>
    <w:rsid w:val="008314C0"/>
    <w:rsid w:val="00842BFD"/>
    <w:rsid w:val="00846B00"/>
    <w:rsid w:val="00855919"/>
    <w:rsid w:val="008629BC"/>
    <w:rsid w:val="00865B32"/>
    <w:rsid w:val="00870A0B"/>
    <w:rsid w:val="0087330D"/>
    <w:rsid w:val="008734FC"/>
    <w:rsid w:val="0088501E"/>
    <w:rsid w:val="00895D69"/>
    <w:rsid w:val="008B3C3B"/>
    <w:rsid w:val="008C51EB"/>
    <w:rsid w:val="008D30F0"/>
    <w:rsid w:val="008D479E"/>
    <w:rsid w:val="008E3852"/>
    <w:rsid w:val="008E3EED"/>
    <w:rsid w:val="008E458F"/>
    <w:rsid w:val="008F063B"/>
    <w:rsid w:val="008F2790"/>
    <w:rsid w:val="009018D9"/>
    <w:rsid w:val="00906A8B"/>
    <w:rsid w:val="00911AFB"/>
    <w:rsid w:val="00912B96"/>
    <w:rsid w:val="00912D28"/>
    <w:rsid w:val="0091676D"/>
    <w:rsid w:val="009215A9"/>
    <w:rsid w:val="00927296"/>
    <w:rsid w:val="0092799F"/>
    <w:rsid w:val="00940CBB"/>
    <w:rsid w:val="00963A0C"/>
    <w:rsid w:val="00965A1C"/>
    <w:rsid w:val="00976C35"/>
    <w:rsid w:val="00985305"/>
    <w:rsid w:val="009864DC"/>
    <w:rsid w:val="0098663A"/>
    <w:rsid w:val="0099525C"/>
    <w:rsid w:val="009A7917"/>
    <w:rsid w:val="009B0EFC"/>
    <w:rsid w:val="009B3384"/>
    <w:rsid w:val="009C1263"/>
    <w:rsid w:val="009C4C38"/>
    <w:rsid w:val="009C593D"/>
    <w:rsid w:val="009D7C75"/>
    <w:rsid w:val="009E7446"/>
    <w:rsid w:val="009F3EA7"/>
    <w:rsid w:val="009F4E29"/>
    <w:rsid w:val="00A018EF"/>
    <w:rsid w:val="00A04BA1"/>
    <w:rsid w:val="00A05723"/>
    <w:rsid w:val="00A156BB"/>
    <w:rsid w:val="00A23EBC"/>
    <w:rsid w:val="00A31C5E"/>
    <w:rsid w:val="00A41889"/>
    <w:rsid w:val="00A43FA1"/>
    <w:rsid w:val="00A45537"/>
    <w:rsid w:val="00A46408"/>
    <w:rsid w:val="00A543A1"/>
    <w:rsid w:val="00A552D7"/>
    <w:rsid w:val="00A60987"/>
    <w:rsid w:val="00A706E4"/>
    <w:rsid w:val="00A73013"/>
    <w:rsid w:val="00A77BF2"/>
    <w:rsid w:val="00A80D64"/>
    <w:rsid w:val="00A94E8B"/>
    <w:rsid w:val="00A96A71"/>
    <w:rsid w:val="00AA1027"/>
    <w:rsid w:val="00AB0DC4"/>
    <w:rsid w:val="00AB21FC"/>
    <w:rsid w:val="00AB77E5"/>
    <w:rsid w:val="00AC1A6B"/>
    <w:rsid w:val="00AC31A5"/>
    <w:rsid w:val="00AC56A9"/>
    <w:rsid w:val="00AD0EAE"/>
    <w:rsid w:val="00AE2ADA"/>
    <w:rsid w:val="00AE2BE1"/>
    <w:rsid w:val="00AF009C"/>
    <w:rsid w:val="00AF10B7"/>
    <w:rsid w:val="00AF25E9"/>
    <w:rsid w:val="00AF2986"/>
    <w:rsid w:val="00AF54CC"/>
    <w:rsid w:val="00B1670E"/>
    <w:rsid w:val="00B17082"/>
    <w:rsid w:val="00B20A22"/>
    <w:rsid w:val="00B31149"/>
    <w:rsid w:val="00B369D8"/>
    <w:rsid w:val="00B4006D"/>
    <w:rsid w:val="00B42566"/>
    <w:rsid w:val="00B4518D"/>
    <w:rsid w:val="00B55516"/>
    <w:rsid w:val="00B57AAB"/>
    <w:rsid w:val="00B66277"/>
    <w:rsid w:val="00B81C91"/>
    <w:rsid w:val="00B85F4D"/>
    <w:rsid w:val="00BB3E8E"/>
    <w:rsid w:val="00BC08BB"/>
    <w:rsid w:val="00BC35C0"/>
    <w:rsid w:val="00BC4A2A"/>
    <w:rsid w:val="00BD2DC2"/>
    <w:rsid w:val="00BE6ADA"/>
    <w:rsid w:val="00BF1689"/>
    <w:rsid w:val="00BF3A1D"/>
    <w:rsid w:val="00C007BC"/>
    <w:rsid w:val="00C109BB"/>
    <w:rsid w:val="00C10FF0"/>
    <w:rsid w:val="00C11AD4"/>
    <w:rsid w:val="00C163E8"/>
    <w:rsid w:val="00C17AA7"/>
    <w:rsid w:val="00C24843"/>
    <w:rsid w:val="00C301D4"/>
    <w:rsid w:val="00C347E4"/>
    <w:rsid w:val="00C45FCF"/>
    <w:rsid w:val="00C5755B"/>
    <w:rsid w:val="00C7477F"/>
    <w:rsid w:val="00C77AA7"/>
    <w:rsid w:val="00C81AE4"/>
    <w:rsid w:val="00C86943"/>
    <w:rsid w:val="00CA306C"/>
    <w:rsid w:val="00CA5D46"/>
    <w:rsid w:val="00CB4DDA"/>
    <w:rsid w:val="00CB5DA7"/>
    <w:rsid w:val="00CC0231"/>
    <w:rsid w:val="00CC0DA7"/>
    <w:rsid w:val="00CC4CCD"/>
    <w:rsid w:val="00CC5353"/>
    <w:rsid w:val="00CE47B8"/>
    <w:rsid w:val="00CE6E4E"/>
    <w:rsid w:val="00CF1450"/>
    <w:rsid w:val="00CF2081"/>
    <w:rsid w:val="00CF68A8"/>
    <w:rsid w:val="00D000C0"/>
    <w:rsid w:val="00D05922"/>
    <w:rsid w:val="00D05EF6"/>
    <w:rsid w:val="00D0774B"/>
    <w:rsid w:val="00D10C4E"/>
    <w:rsid w:val="00D11EE3"/>
    <w:rsid w:val="00D2241D"/>
    <w:rsid w:val="00D2559D"/>
    <w:rsid w:val="00D45CBE"/>
    <w:rsid w:val="00D46E00"/>
    <w:rsid w:val="00D57444"/>
    <w:rsid w:val="00D5760C"/>
    <w:rsid w:val="00D62914"/>
    <w:rsid w:val="00D763D3"/>
    <w:rsid w:val="00D809B2"/>
    <w:rsid w:val="00D81274"/>
    <w:rsid w:val="00D82BB5"/>
    <w:rsid w:val="00D85E24"/>
    <w:rsid w:val="00D95B78"/>
    <w:rsid w:val="00DA26C5"/>
    <w:rsid w:val="00DB5519"/>
    <w:rsid w:val="00DC6814"/>
    <w:rsid w:val="00DC7496"/>
    <w:rsid w:val="00DC7C0C"/>
    <w:rsid w:val="00DD130E"/>
    <w:rsid w:val="00DD2833"/>
    <w:rsid w:val="00DD49AA"/>
    <w:rsid w:val="00DE1FD8"/>
    <w:rsid w:val="00DE308F"/>
    <w:rsid w:val="00DE5A77"/>
    <w:rsid w:val="00DF579E"/>
    <w:rsid w:val="00DF610B"/>
    <w:rsid w:val="00E04E8B"/>
    <w:rsid w:val="00E07407"/>
    <w:rsid w:val="00E20D7C"/>
    <w:rsid w:val="00E27514"/>
    <w:rsid w:val="00E275EC"/>
    <w:rsid w:val="00E300FF"/>
    <w:rsid w:val="00E30894"/>
    <w:rsid w:val="00E308C4"/>
    <w:rsid w:val="00E3099D"/>
    <w:rsid w:val="00E36C75"/>
    <w:rsid w:val="00E4418E"/>
    <w:rsid w:val="00E5657F"/>
    <w:rsid w:val="00E57DB7"/>
    <w:rsid w:val="00E67752"/>
    <w:rsid w:val="00E837D5"/>
    <w:rsid w:val="00E86319"/>
    <w:rsid w:val="00E91007"/>
    <w:rsid w:val="00E9187A"/>
    <w:rsid w:val="00E93FEC"/>
    <w:rsid w:val="00EA07CD"/>
    <w:rsid w:val="00EB60D3"/>
    <w:rsid w:val="00EB7A69"/>
    <w:rsid w:val="00EC1B8C"/>
    <w:rsid w:val="00EC2A73"/>
    <w:rsid w:val="00ED52C5"/>
    <w:rsid w:val="00ED5E01"/>
    <w:rsid w:val="00EE34BF"/>
    <w:rsid w:val="00EE46D3"/>
    <w:rsid w:val="00EE7B92"/>
    <w:rsid w:val="00EF6F99"/>
    <w:rsid w:val="00F011AA"/>
    <w:rsid w:val="00F05128"/>
    <w:rsid w:val="00F068B0"/>
    <w:rsid w:val="00F073F4"/>
    <w:rsid w:val="00F2189C"/>
    <w:rsid w:val="00F23813"/>
    <w:rsid w:val="00F34090"/>
    <w:rsid w:val="00F3508E"/>
    <w:rsid w:val="00F4097A"/>
    <w:rsid w:val="00F437FB"/>
    <w:rsid w:val="00F47D91"/>
    <w:rsid w:val="00F50265"/>
    <w:rsid w:val="00F606C4"/>
    <w:rsid w:val="00F66ED7"/>
    <w:rsid w:val="00F73121"/>
    <w:rsid w:val="00F81EF2"/>
    <w:rsid w:val="00F83620"/>
    <w:rsid w:val="00F85500"/>
    <w:rsid w:val="00FC2ABC"/>
    <w:rsid w:val="00FC599E"/>
    <w:rsid w:val="00FC69A7"/>
    <w:rsid w:val="00FC6E86"/>
    <w:rsid w:val="00FC7C37"/>
    <w:rsid w:val="00FD0BB2"/>
    <w:rsid w:val="00FD27DC"/>
    <w:rsid w:val="00FD55BB"/>
    <w:rsid w:val="00FE43B5"/>
    <w:rsid w:val="00FF0090"/>
    <w:rsid w:val="00FF11F9"/>
    <w:rsid w:val="00FF7132"/>
    <w:rsid w:val="00FF7BE7"/>
    <w:rsid w:val="031D1052"/>
    <w:rsid w:val="04FA4BFE"/>
    <w:rsid w:val="08780401"/>
    <w:rsid w:val="08DC58E8"/>
    <w:rsid w:val="15E44EAC"/>
    <w:rsid w:val="18AE324D"/>
    <w:rsid w:val="1BCA32C6"/>
    <w:rsid w:val="1F884DA0"/>
    <w:rsid w:val="230E0D2E"/>
    <w:rsid w:val="348E1609"/>
    <w:rsid w:val="3A017ABA"/>
    <w:rsid w:val="467D2532"/>
    <w:rsid w:val="51742E62"/>
    <w:rsid w:val="5B15697F"/>
    <w:rsid w:val="5B1B5BBB"/>
    <w:rsid w:val="64BF5EFE"/>
    <w:rsid w:val="66E130AF"/>
    <w:rsid w:val="67975356"/>
    <w:rsid w:val="69CD138C"/>
    <w:rsid w:val="6F4B54F5"/>
    <w:rsid w:val="72134D4F"/>
    <w:rsid w:val="79FC7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80" w:lineRule="atLeast"/>
      <w:jc w:val="both"/>
      <w:textAlignment w:val="baseline"/>
    </w:pPr>
    <w:rPr>
      <w:rFonts w:ascii="Times New Roman" w:hAnsi="Times New Roman" w:eastAsia="仿宋_GB2312" w:cs="Times New Roman"/>
      <w:sz w:val="28"/>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9"/>
    <w:autoRedefine/>
    <w:semiHidden/>
    <w:unhideWhenUsed/>
    <w:qFormat/>
    <w:uiPriority w:val="99"/>
    <w:pPr>
      <w:jc w:val="left"/>
    </w:pPr>
  </w:style>
  <w:style w:type="paragraph" w:styleId="3">
    <w:name w:val="Body Text Indent"/>
    <w:basedOn w:val="1"/>
    <w:link w:val="21"/>
    <w:semiHidden/>
    <w:unhideWhenUsed/>
    <w:uiPriority w:val="99"/>
    <w:pPr>
      <w:spacing w:after="120" w:afterLines="0" w:afterAutospacing="0"/>
      <w:ind w:left="420" w:leftChars="200"/>
    </w:pPr>
  </w:style>
  <w:style w:type="paragraph" w:styleId="4">
    <w:name w:val="Balloon Text"/>
    <w:basedOn w:val="1"/>
    <w:link w:val="17"/>
    <w:autoRedefine/>
    <w:semiHidden/>
    <w:unhideWhenUsed/>
    <w:qFormat/>
    <w:uiPriority w:val="99"/>
    <w:pPr>
      <w:spacing w:line="240" w:lineRule="auto"/>
    </w:pPr>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0"/>
    <w:autoRedefine/>
    <w:semiHidden/>
    <w:unhideWhenUsed/>
    <w:qFormat/>
    <w:uiPriority w:val="99"/>
    <w:rPr>
      <w:b/>
      <w:bCs/>
    </w:rPr>
  </w:style>
  <w:style w:type="paragraph" w:styleId="8">
    <w:name w:val="Body Text First Indent 2"/>
    <w:basedOn w:val="3"/>
    <w:link w:val="22"/>
    <w:semiHidden/>
    <w:unhideWhenUsed/>
    <w:uiPriority w:val="99"/>
    <w:pPr>
      <w:keepNext w:val="0"/>
      <w:keepLines w:val="0"/>
      <w:widowControl/>
      <w:suppressLineNumbers w:val="0"/>
      <w:spacing w:before="0" w:beforeAutospacing="0" w:after="0" w:afterAutospacing="0" w:line="360" w:lineRule="auto"/>
      <w:ind w:left="0" w:right="0" w:firstLine="200" w:firstLineChars="200"/>
      <w:jc w:val="left"/>
    </w:pPr>
    <w:rPr>
      <w:rFonts w:hint="eastAsia" w:ascii="宋体" w:hAnsi="宋体" w:eastAsia="宋体" w:cs="Times New Roman"/>
      <w:kern w:val="0"/>
      <w:sz w:val="24"/>
      <w:szCs w:val="24"/>
      <w:lang w:val="en-US" w:eastAsia="zh-CN" w:bidi="ar"/>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unhideWhenUsed/>
    <w:qFormat/>
    <w:uiPriority w:val="99"/>
    <w:rPr>
      <w:sz w:val="21"/>
      <w:szCs w:val="21"/>
    </w:rPr>
  </w:style>
  <w:style w:type="character" w:customStyle="1" w:styleId="13">
    <w:name w:val="页眉 字符"/>
    <w:basedOn w:val="11"/>
    <w:link w:val="6"/>
    <w:autoRedefine/>
    <w:qFormat/>
    <w:uiPriority w:val="99"/>
    <w:rPr>
      <w:sz w:val="18"/>
      <w:szCs w:val="18"/>
    </w:rPr>
  </w:style>
  <w:style w:type="character" w:customStyle="1" w:styleId="14">
    <w:name w:val="页脚 字符"/>
    <w:basedOn w:val="11"/>
    <w:link w:val="5"/>
    <w:autoRedefine/>
    <w:qFormat/>
    <w:uiPriority w:val="99"/>
    <w:rPr>
      <w:sz w:val="18"/>
      <w:szCs w:val="18"/>
    </w:rPr>
  </w:style>
  <w:style w:type="paragraph" w:customStyle="1" w:styleId="15">
    <w:name w:val="列出段落1"/>
    <w:basedOn w:val="1"/>
    <w:autoRedefine/>
    <w:qFormat/>
    <w:uiPriority w:val="34"/>
    <w:pPr>
      <w:adjustRightInd/>
      <w:spacing w:line="240" w:lineRule="auto"/>
      <w:ind w:firstLine="420" w:firstLineChars="200"/>
      <w:textAlignment w:val="auto"/>
    </w:pPr>
    <w:rPr>
      <w:rFonts w:ascii="Calibri" w:hAnsi="Calibri" w:eastAsia="宋体"/>
      <w:kern w:val="2"/>
      <w:sz w:val="21"/>
      <w:szCs w:val="22"/>
    </w:rPr>
  </w:style>
  <w:style w:type="paragraph" w:styleId="16">
    <w:name w:val="List Paragraph"/>
    <w:basedOn w:val="1"/>
    <w:autoRedefine/>
    <w:unhideWhenUsed/>
    <w:qFormat/>
    <w:uiPriority w:val="99"/>
    <w:pPr>
      <w:ind w:firstLine="420" w:firstLineChars="200"/>
    </w:pPr>
  </w:style>
  <w:style w:type="character" w:customStyle="1" w:styleId="17">
    <w:name w:val="批注框文本 字符"/>
    <w:basedOn w:val="11"/>
    <w:link w:val="4"/>
    <w:autoRedefine/>
    <w:semiHidden/>
    <w:qFormat/>
    <w:uiPriority w:val="99"/>
    <w:rPr>
      <w:rFonts w:ascii="Times New Roman" w:hAnsi="Times New Roman" w:eastAsia="仿宋_GB2312" w:cs="Times New Roman"/>
      <w:sz w:val="18"/>
      <w:szCs w:val="18"/>
    </w:rPr>
  </w:style>
  <w:style w:type="paragraph" w:customStyle="1" w:styleId="18">
    <w:name w:val="Revision"/>
    <w:autoRedefine/>
    <w:hidden/>
    <w:unhideWhenUsed/>
    <w:qFormat/>
    <w:uiPriority w:val="99"/>
    <w:rPr>
      <w:rFonts w:ascii="Times New Roman" w:hAnsi="Times New Roman" w:eastAsia="仿宋_GB2312" w:cs="Times New Roman"/>
      <w:sz w:val="28"/>
      <w:lang w:val="en-US" w:eastAsia="zh-CN" w:bidi="ar-SA"/>
    </w:rPr>
  </w:style>
  <w:style w:type="character" w:customStyle="1" w:styleId="19">
    <w:name w:val="批注文字 字符"/>
    <w:basedOn w:val="11"/>
    <w:link w:val="2"/>
    <w:autoRedefine/>
    <w:semiHidden/>
    <w:qFormat/>
    <w:uiPriority w:val="99"/>
    <w:rPr>
      <w:rFonts w:ascii="Times New Roman" w:hAnsi="Times New Roman" w:eastAsia="仿宋_GB2312" w:cs="Times New Roman"/>
      <w:sz w:val="28"/>
    </w:rPr>
  </w:style>
  <w:style w:type="character" w:customStyle="1" w:styleId="20">
    <w:name w:val="批注主题 字符"/>
    <w:basedOn w:val="19"/>
    <w:link w:val="7"/>
    <w:autoRedefine/>
    <w:semiHidden/>
    <w:qFormat/>
    <w:uiPriority w:val="99"/>
    <w:rPr>
      <w:rFonts w:ascii="Times New Roman" w:hAnsi="Times New Roman" w:eastAsia="仿宋_GB2312" w:cs="Times New Roman"/>
      <w:b/>
      <w:bCs/>
      <w:sz w:val="28"/>
    </w:rPr>
  </w:style>
  <w:style w:type="character" w:customStyle="1" w:styleId="21">
    <w:name w:val="正文文本缩进 Char"/>
    <w:basedOn w:val="11"/>
    <w:link w:val="3"/>
    <w:autoRedefine/>
    <w:uiPriority w:val="0"/>
    <w:rPr>
      <w:kern w:val="2"/>
      <w:sz w:val="21"/>
      <w:szCs w:val="24"/>
    </w:rPr>
  </w:style>
  <w:style w:type="character" w:customStyle="1" w:styleId="22">
    <w:name w:val="正文首行缩进 2 Char"/>
    <w:basedOn w:val="21"/>
    <w:link w:val="8"/>
    <w:qFormat/>
    <w:uiPriority w:val="0"/>
    <w:rPr>
      <w:rFonts w:hint="eastAsia" w:ascii="宋体" w:hAnsi="宋体" w:eastAsia="宋体" w:cs="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8F1DA-441E-4D2F-A6F7-EE4FF3413C2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1299</Words>
  <Characters>7407</Characters>
  <Lines>61</Lines>
  <Paragraphs>17</Paragraphs>
  <TotalTime>46</TotalTime>
  <ScaleCrop>false</ScaleCrop>
  <LinksUpToDate>false</LinksUpToDate>
  <CharactersWithSpaces>8689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2021-10-09T00:43:00Z</dcterms:created>
  <dc:creator>Administrator</dc:creator>
  <cp:lastModifiedBy>Diane</cp:lastModifiedBy>
  <cp:lastPrinted>2020-03-16T00:28:00Z</cp:lastPrinted>
  <dcterms:modified xsi:type="dcterms:W3CDTF">2024-02-20T09:00:12Z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B5368488EBB1495BA8CC62BFD02833A5_13</vt:lpwstr>
  </property>
</Properties>
</file>